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268"/>
        <w:tblW w:w="9822" w:type="dxa"/>
        <w:tblLayout w:type="fixed"/>
        <w:tblLook w:val="04A0" w:firstRow="1" w:lastRow="0" w:firstColumn="1" w:lastColumn="0" w:noHBand="0" w:noVBand="1"/>
      </w:tblPr>
      <w:tblGrid>
        <w:gridCol w:w="4319"/>
        <w:gridCol w:w="2688"/>
        <w:gridCol w:w="2815"/>
      </w:tblGrid>
      <w:tr w:rsidR="00183366" w:rsidRPr="001B0062" w:rsidTr="001667D6">
        <w:trPr>
          <w:trHeight w:val="2137"/>
        </w:trPr>
        <w:tc>
          <w:tcPr>
            <w:tcW w:w="4319" w:type="dxa"/>
          </w:tcPr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  <w:t>RÉPUBLIQUE DU TCHAD</w:t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  <w:shd w:val="clear" w:color="auto" w:fill="FFFFFF"/>
              </w:rPr>
              <w:drawing>
                <wp:inline distT="0" distB="0" distL="0" distR="0" wp14:anchorId="7AFF9A55" wp14:editId="3AD0BB12">
                  <wp:extent cx="641350" cy="139700"/>
                  <wp:effectExtent l="0" t="0" r="635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  <w:t>PRÉSIDENCE DE LA RÉPUBLIQUE</w:t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74A575AE" wp14:editId="0AA093BE">
                  <wp:extent cx="641350" cy="139700"/>
                  <wp:effectExtent l="0" t="0" r="635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  <w:t>PRIMATURE</w:t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4D50997E" wp14:editId="281D5CD4">
                  <wp:extent cx="641350" cy="139700"/>
                  <wp:effectExtent l="0" t="0" r="635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  <w:t>MINISTÈRE DU COMMERCE ET DE l’INDUSTRIE</w:t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097EF3A1" wp14:editId="66552D52">
                  <wp:extent cx="641350" cy="139700"/>
                  <wp:effectExtent l="0" t="0" r="635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sz w:val="17"/>
                <w:szCs w:val="17"/>
                <w:shd w:val="clear" w:color="auto" w:fill="FFFFFF"/>
              </w:rPr>
              <w:t xml:space="preserve">SECRÉTARIAT GÉNÉRAL                              </w:t>
            </w:r>
          </w:p>
          <w:p w:rsidR="00183366" w:rsidRPr="001B0062" w:rsidRDefault="00183366" w:rsidP="001667D6">
            <w:pPr>
              <w:keepNext/>
              <w:contextualSpacing/>
              <w:outlineLvl w:val="0"/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6CB887B7" wp14:editId="7E3B6B04">
                  <wp:extent cx="641350" cy="139700"/>
                  <wp:effectExtent l="0" t="0" r="6350" b="0"/>
                  <wp:docPr id="2146459498" name="Image 2146459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keepNext/>
              <w:contextualSpacing/>
              <w:outlineLvl w:val="0"/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t>DIRECTION GÉNÉRALE DU COMMERCE</w:t>
            </w:r>
          </w:p>
          <w:p w:rsidR="00183366" w:rsidRPr="001B0062" w:rsidRDefault="00183366" w:rsidP="001667D6">
            <w:pPr>
              <w:keepNext/>
              <w:contextualSpacing/>
              <w:outlineLvl w:val="0"/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48857C40" wp14:editId="43FC9092">
                  <wp:extent cx="641350" cy="139700"/>
                  <wp:effectExtent l="0" t="0" r="6350" b="0"/>
                  <wp:docPr id="86035098" name="Image 86035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keepNext/>
              <w:contextualSpacing/>
              <w:outlineLvl w:val="0"/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t>DIRECTION DE LA FACILITATION DES AFFAIRES ET D’APPUI AU SECTEUR INFORMEL</w:t>
            </w:r>
          </w:p>
          <w:p w:rsidR="00183366" w:rsidRPr="001B0062" w:rsidRDefault="00183366" w:rsidP="001667D6">
            <w:pPr>
              <w:keepNext/>
              <w:contextualSpacing/>
              <w:outlineLvl w:val="0"/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</w:pPr>
          </w:p>
          <w:p w:rsidR="00183366" w:rsidRPr="001B0062" w:rsidRDefault="00183366" w:rsidP="001667D6">
            <w:pPr>
              <w:keepNext/>
              <w:contextualSpacing/>
              <w:outlineLvl w:val="0"/>
              <w:rPr>
                <w:rFonts w:asciiTheme="majorBidi" w:hAnsiTheme="majorBidi" w:cstheme="majorBidi"/>
                <w:b/>
                <w:bCs/>
                <w:sz w:val="17"/>
                <w:szCs w:val="17"/>
                <w:shd w:val="clear" w:color="auto" w:fill="FFFFFF"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shd w:val="clear" w:color="auto" w:fill="FFFFFF"/>
              </w:rPr>
              <w:t>N°________/PR/PM/MCI/SG/DGC/DFAASI/2026</w:t>
            </w:r>
          </w:p>
        </w:tc>
        <w:tc>
          <w:tcPr>
            <w:tcW w:w="2688" w:type="dxa"/>
            <w:hideMark/>
          </w:tcPr>
          <w:p w:rsidR="00183366" w:rsidRPr="001B0062" w:rsidRDefault="00183366" w:rsidP="001667D6">
            <w:pPr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sz w:val="17"/>
                <w:szCs w:val="17"/>
              </w:rPr>
              <w:t>Unité – Travail – Progrès</w:t>
            </w:r>
          </w:p>
          <w:p w:rsidR="00183366" w:rsidRPr="001B0062" w:rsidRDefault="00183366" w:rsidP="001667D6">
            <w:pPr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  <w:t xml:space="preserve">وحدة-عمل-تقدم        </w:t>
            </w:r>
          </w:p>
          <w:p w:rsidR="00183366" w:rsidRPr="001B0062" w:rsidRDefault="00183366" w:rsidP="001667D6">
            <w:pPr>
              <w:ind w:left="113" w:right="907"/>
              <w:contextualSpacing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4B430B67" wp14:editId="66194A81">
                  <wp:extent cx="641350" cy="139700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062">
              <w:rPr>
                <w:rFonts w:asciiTheme="majorBidi" w:hAnsiTheme="majorBidi" w:cstheme="majorBidi"/>
                <w:sz w:val="17"/>
                <w:szCs w:val="17"/>
              </w:rPr>
              <w:t xml:space="preserve">  </w:t>
            </w: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noProof/>
                <w:sz w:val="17"/>
                <w:szCs w:val="17"/>
              </w:rPr>
              <w:drawing>
                <wp:anchor distT="0" distB="0" distL="114300" distR="114300" simplePos="0" relativeHeight="251659264" behindDoc="0" locked="0" layoutInCell="1" allowOverlap="1" wp14:anchorId="734C19C4" wp14:editId="49856B6A">
                  <wp:simplePos x="0" y="0"/>
                  <wp:positionH relativeFrom="column">
                    <wp:posOffset>204139</wp:posOffset>
                  </wp:positionH>
                  <wp:positionV relativeFrom="paragraph">
                    <wp:posOffset>16092</wp:posOffset>
                  </wp:positionV>
                  <wp:extent cx="969645" cy="800100"/>
                  <wp:effectExtent l="0" t="0" r="1905" b="0"/>
                  <wp:wrapSquare wrapText="bothSides"/>
                  <wp:docPr id="14" name="Image 14" descr="1200px-Coat_of_arms_of_Cha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1200px-Coat_of_arms_of_Cha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062">
              <w:rPr>
                <w:rFonts w:asciiTheme="majorBidi" w:hAnsiTheme="majorBidi" w:cstheme="majorBidi"/>
                <w:sz w:val="17"/>
                <w:szCs w:val="17"/>
              </w:rPr>
              <w:t xml:space="preserve">                                         </w:t>
            </w:r>
          </w:p>
          <w:p w:rsidR="00183366" w:rsidRPr="001B0062" w:rsidRDefault="00183366" w:rsidP="001667D6">
            <w:pPr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183366" w:rsidRPr="001B0062" w:rsidRDefault="00183366" w:rsidP="001667D6">
            <w:pPr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sz w:val="17"/>
                <w:szCs w:val="17"/>
              </w:rPr>
              <w:tab/>
              <w:t xml:space="preserve">                            </w:t>
            </w: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sz w:val="17"/>
                <w:szCs w:val="17"/>
              </w:rPr>
              <w:t xml:space="preserve">                            </w:t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  <w:t xml:space="preserve">                    </w:t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</w:r>
            <w:r>
              <w:rPr>
                <w:rFonts w:asciiTheme="majorBidi" w:hAnsiTheme="majorBidi" w:cstheme="majorBidi"/>
                <w:sz w:val="17"/>
                <w:szCs w:val="17"/>
              </w:rPr>
              <w:br/>
              <w:t xml:space="preserve">                         À </w:t>
            </w:r>
            <w:r w:rsidRPr="001B0062">
              <w:rPr>
                <w:rFonts w:asciiTheme="majorBidi" w:hAnsiTheme="majorBidi" w:cstheme="majorBidi"/>
                <w:sz w:val="17"/>
                <w:szCs w:val="17"/>
              </w:rPr>
              <w:t>N’Djaména, le</w:t>
            </w:r>
            <w:r w:rsidRPr="001B0062">
              <w:rPr>
                <w:rFonts w:asciiTheme="majorBidi" w:hAnsiTheme="majorBidi" w:cstheme="majorBidi"/>
                <w:noProof/>
                <w:sz w:val="17"/>
                <w:szCs w:val="17"/>
              </w:rPr>
              <w:t xml:space="preserve"> </w:t>
            </w: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sz w:val="17"/>
                <w:szCs w:val="17"/>
              </w:rPr>
              <w:t xml:space="preserve">                                 </w:t>
            </w: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sz w:val="17"/>
                <w:szCs w:val="17"/>
              </w:rPr>
              <w:t xml:space="preserve">     </w:t>
            </w:r>
          </w:p>
          <w:p w:rsidR="00183366" w:rsidRPr="001B0062" w:rsidRDefault="00183366" w:rsidP="001667D6">
            <w:pPr>
              <w:tabs>
                <w:tab w:val="left" w:pos="945"/>
              </w:tabs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2815" w:type="dxa"/>
          </w:tcPr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  <w:t>جمهورية تشاد</w:t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t xml:space="preserve">         </w:t>
            </w: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1E769B0D" wp14:editId="4726F785">
                  <wp:extent cx="641350" cy="139700"/>
                  <wp:effectExtent l="0" t="0" r="635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  <w:t>رئاسة الجمهورية</w:t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sz w:val="17"/>
                <w:szCs w:val="17"/>
                <w:rtl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3CF29331" wp14:editId="41058B87">
                  <wp:extent cx="641350" cy="1397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  <w:t>رئاسة الوزراء</w:t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sz w:val="17"/>
                <w:szCs w:val="17"/>
                <w:rtl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0CC693E3" wp14:editId="392416C6">
                  <wp:extent cx="641350" cy="139700"/>
                  <wp:effectExtent l="0" t="0" r="635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  <w:t>وزارة التجارة والصناعة</w:t>
            </w:r>
          </w:p>
          <w:p w:rsidR="00183366" w:rsidRPr="001B0062" w:rsidRDefault="00183366" w:rsidP="001667D6">
            <w:pPr>
              <w:suppressAutoHyphens/>
              <w:autoSpaceDN w:val="0"/>
              <w:bidi/>
              <w:contextualSpacing/>
              <w:rPr>
                <w:rFonts w:asciiTheme="majorBidi" w:hAnsiTheme="majorBidi" w:cstheme="majorBidi"/>
                <w:b/>
                <w:sz w:val="17"/>
                <w:szCs w:val="17"/>
                <w:rtl/>
              </w:rPr>
            </w:pPr>
            <w:r w:rsidRPr="001B0062">
              <w:rPr>
                <w:rFonts w:asciiTheme="majorBidi" w:hAnsiTheme="majorBidi" w:cstheme="majorBidi"/>
                <w:b/>
                <w:noProof/>
                <w:sz w:val="17"/>
                <w:szCs w:val="17"/>
              </w:rPr>
              <w:drawing>
                <wp:inline distT="0" distB="0" distL="0" distR="0" wp14:anchorId="388A8352" wp14:editId="34DCAF04">
                  <wp:extent cx="641350" cy="13970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</w:pPr>
            <w:r w:rsidRPr="001B0062"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  <w:t>الأمانة العامة</w:t>
            </w:r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</w:pPr>
            <w:r w:rsidRPr="001B0062">
              <w:rPr>
                <w:rFonts w:asciiTheme="majorBidi" w:hAnsiTheme="majorBidi" w:cstheme="majorBidi"/>
                <w:noProof/>
                <w:sz w:val="17"/>
                <w:szCs w:val="17"/>
              </w:rPr>
              <w:drawing>
                <wp:inline distT="0" distB="0" distL="0" distR="0" wp14:anchorId="1132F835" wp14:editId="6B68D53B">
                  <wp:extent cx="641350" cy="139700"/>
                  <wp:effectExtent l="0" t="0" r="635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366" w:rsidRPr="001B0062" w:rsidRDefault="00183366" w:rsidP="001667D6">
            <w:pPr>
              <w:jc w:val="right"/>
              <w:rPr>
                <w:rFonts w:asciiTheme="majorBidi" w:hAnsiTheme="majorBidi" w:cstheme="majorBidi"/>
                <w:b/>
                <w:sz w:val="17"/>
                <w:szCs w:val="17"/>
              </w:rPr>
            </w:pPr>
            <w:proofErr w:type="spellStart"/>
            <w:proofErr w:type="gramStart"/>
            <w:r w:rsidRPr="001B0062">
              <w:rPr>
                <w:rFonts w:asciiTheme="majorBidi" w:hAnsiTheme="majorBidi" w:cstheme="majorBidi"/>
                <w:b/>
                <w:sz w:val="17"/>
                <w:szCs w:val="17"/>
              </w:rPr>
              <w:t>المديرية</w:t>
            </w:r>
            <w:proofErr w:type="spellEnd"/>
            <w:proofErr w:type="gramEnd"/>
            <w:r w:rsidRPr="001B0062">
              <w:rPr>
                <w:rFonts w:asciiTheme="majorBidi" w:hAnsiTheme="majorBidi" w:cstheme="majorBidi"/>
                <w:b/>
                <w:sz w:val="17"/>
                <w:szCs w:val="17"/>
              </w:rPr>
              <w:t xml:space="preserve"> </w:t>
            </w:r>
            <w:proofErr w:type="spellStart"/>
            <w:r w:rsidRPr="001B0062">
              <w:rPr>
                <w:rFonts w:asciiTheme="majorBidi" w:hAnsiTheme="majorBidi" w:cstheme="majorBidi"/>
                <w:b/>
                <w:sz w:val="17"/>
                <w:szCs w:val="17"/>
              </w:rPr>
              <w:t>العامة</w:t>
            </w:r>
            <w:proofErr w:type="spellEnd"/>
            <w:r w:rsidRPr="001B0062">
              <w:rPr>
                <w:rFonts w:asciiTheme="majorBidi" w:hAnsiTheme="majorBidi" w:cstheme="majorBidi"/>
                <w:b/>
                <w:sz w:val="17"/>
                <w:szCs w:val="17"/>
              </w:rPr>
              <w:t xml:space="preserve"> </w:t>
            </w:r>
            <w:proofErr w:type="spellStart"/>
            <w:r w:rsidRPr="001B0062">
              <w:rPr>
                <w:rFonts w:asciiTheme="majorBidi" w:hAnsiTheme="majorBidi" w:cstheme="majorBidi"/>
                <w:b/>
                <w:sz w:val="17"/>
                <w:szCs w:val="17"/>
              </w:rPr>
              <w:t>للتجارة</w:t>
            </w:r>
            <w:proofErr w:type="spellEnd"/>
          </w:p>
          <w:p w:rsidR="00183366" w:rsidRPr="001B0062" w:rsidRDefault="00183366" w:rsidP="001667D6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</w:p>
          <w:p w:rsidR="00183366" w:rsidRPr="001B0062" w:rsidRDefault="00183366" w:rsidP="001667D6">
            <w:pPr>
              <w:suppressAutoHyphens/>
              <w:autoSpaceDN w:val="0"/>
              <w:bidi/>
              <w:contextualSpacing/>
              <w:rPr>
                <w:rFonts w:asciiTheme="majorBidi" w:hAnsiTheme="majorBidi" w:cstheme="majorBidi"/>
                <w:sz w:val="17"/>
                <w:szCs w:val="17"/>
                <w:rtl/>
              </w:rPr>
            </w:pP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</w:rPr>
            </w:pPr>
          </w:p>
          <w:p w:rsidR="00183366" w:rsidRPr="001B0062" w:rsidRDefault="00183366" w:rsidP="001667D6">
            <w:pPr>
              <w:suppressAutoHyphens/>
              <w:autoSpaceDN w:val="0"/>
              <w:contextualSpacing/>
              <w:rPr>
                <w:rFonts w:asciiTheme="majorBidi" w:hAnsiTheme="majorBidi" w:cstheme="majorBidi"/>
                <w:b/>
                <w:sz w:val="17"/>
                <w:szCs w:val="17"/>
              </w:rPr>
            </w:pPr>
          </w:p>
        </w:tc>
      </w:tr>
    </w:tbl>
    <w:p w:rsidR="00820895" w:rsidRPr="00682058" w:rsidRDefault="001B68BB" w:rsidP="00820895">
      <w:pPr>
        <w:jc w:val="center"/>
        <w:rPr>
          <w:i/>
          <w:iCs/>
        </w:rPr>
      </w:pPr>
      <w:r>
        <w:rPr>
          <w:b/>
          <w:bCs/>
        </w:rPr>
        <w:br/>
      </w:r>
    </w:p>
    <w:p w:rsidR="00183366" w:rsidRDefault="00682058" w:rsidP="00682058">
      <w:pPr>
        <w:jc w:val="both"/>
      </w:pPr>
      <w:r w:rsidRPr="00682058">
        <w:rPr>
          <w:i/>
          <w:iCs/>
        </w:rPr>
        <w:t>Réformes et facilitation du dispositif d’exportation des produits agricoles tchadiens</w:t>
      </w:r>
      <w:r w:rsidR="004A2752">
        <w:rPr>
          <w:i/>
          <w:iCs/>
        </w:rPr>
        <w:t xml:space="preserve"> </w:t>
      </w:r>
      <w:r w:rsidR="001B68BB">
        <w:br/>
      </w:r>
    </w:p>
    <w:p w:rsidR="0075515E" w:rsidRPr="00151E43" w:rsidRDefault="00151E43" w:rsidP="0093600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151E43">
        <w:rPr>
          <w:rFonts w:asciiTheme="majorBidi" w:hAnsiTheme="majorBidi" w:cstheme="majorBidi"/>
          <w:b/>
          <w:bCs/>
        </w:rPr>
        <w:t>Contexte</w:t>
      </w:r>
      <w:r w:rsidR="004A2752">
        <w:rPr>
          <w:rFonts w:asciiTheme="majorBidi" w:hAnsiTheme="majorBidi" w:cstheme="majorBidi"/>
          <w:b/>
          <w:bCs/>
        </w:rPr>
        <w:t xml:space="preserve"> </w:t>
      </w:r>
    </w:p>
    <w:p w:rsidR="001B413F" w:rsidRPr="009614C0" w:rsidRDefault="0073264D" w:rsidP="001B413F">
      <w:pPr>
        <w:spacing w:before="100" w:beforeAutospacing="1" w:after="100" w:afterAutospacing="1"/>
        <w:jc w:val="both"/>
      </w:pPr>
      <w:r>
        <w:t>Par</w:t>
      </w:r>
      <w:r w:rsidRPr="009614C0">
        <w:t xml:space="preserve"> correspondance N°211/ATC/25</w:t>
      </w:r>
      <w:r>
        <w:t xml:space="preserve"> en date</w:t>
      </w:r>
      <w:r w:rsidRPr="009614C0">
        <w:t xml:space="preserve"> du 22 décembre 2025</w:t>
      </w:r>
      <w:r>
        <w:t>, l</w:t>
      </w:r>
      <w:r w:rsidR="001B413F">
        <w:t xml:space="preserve">e Ministère du Commerce et de l’Industrie </w:t>
      </w:r>
      <w:r w:rsidR="009622C0">
        <w:t xml:space="preserve">(MCI) </w:t>
      </w:r>
      <w:r w:rsidR="001B413F">
        <w:t>a été saisi</w:t>
      </w:r>
      <w:r>
        <w:t xml:space="preserve"> </w:t>
      </w:r>
      <w:r w:rsidR="001B413F" w:rsidRPr="009614C0">
        <w:t>par l’Ambassade du Tchad en Chine,</w:t>
      </w:r>
      <w:r w:rsidR="001B413F">
        <w:t xml:space="preserve"> </w:t>
      </w:r>
      <w:r w:rsidR="00DB3465">
        <w:t>informant d’</w:t>
      </w:r>
      <w:r w:rsidR="001432DC">
        <w:t>une détection</w:t>
      </w:r>
      <w:r w:rsidR="001B413F" w:rsidRPr="009614C0">
        <w:t xml:space="preserve"> d</w:t>
      </w:r>
      <w:r w:rsidR="0063129C">
        <w:t>’</w:t>
      </w:r>
      <w:r w:rsidR="001B413F" w:rsidRPr="009614C0">
        <w:t>organismes nuisibles dans un lot d’arachides exporté</w:t>
      </w:r>
      <w:r w:rsidR="001432DC">
        <w:t xml:space="preserve"> en Chine</w:t>
      </w:r>
      <w:r w:rsidR="001B413F" w:rsidRPr="009614C0">
        <w:t xml:space="preserve"> depuis le Tchad</w:t>
      </w:r>
      <w:r w:rsidR="00EB4341">
        <w:t>.</w:t>
      </w:r>
      <w:r w:rsidR="004A06B5">
        <w:t xml:space="preserve"> </w:t>
      </w:r>
    </w:p>
    <w:p w:rsidR="00151E43" w:rsidRDefault="001B413F" w:rsidP="00151E43">
      <w:pPr>
        <w:pStyle w:val="NormalWeb"/>
        <w:jc w:val="both"/>
      </w:pPr>
      <w:r>
        <w:t>Suite à cela, deux</w:t>
      </w:r>
      <w:r w:rsidR="00151E43">
        <w:t xml:space="preserve"> réunions d’échanges </w:t>
      </w:r>
      <w:r w:rsidR="009622C0">
        <w:t>entre les parties prenantes de la chaîne d’exportation des produits agricoles, se sont t</w:t>
      </w:r>
      <w:r w:rsidR="00151E43">
        <w:t>enue</w:t>
      </w:r>
      <w:r>
        <w:t>s</w:t>
      </w:r>
      <w:r w:rsidR="00151E43">
        <w:t xml:space="preserve"> les 15 et 22 janvier 2026 au </w:t>
      </w:r>
      <w:r w:rsidR="00D5180E">
        <w:t>MCI</w:t>
      </w:r>
      <w:r w:rsidR="00151E43">
        <w:t>, relative au</w:t>
      </w:r>
      <w:r w:rsidR="009622C0">
        <w:t xml:space="preserve"> respect des</w:t>
      </w:r>
      <w:r w:rsidR="00151E43">
        <w:t xml:space="preserve"> exigences phytosanitaires, </w:t>
      </w:r>
      <w:r w:rsidRPr="00442200">
        <w:rPr>
          <w:b/>
          <w:bCs/>
        </w:rPr>
        <w:t xml:space="preserve">ont permis de mettre en </w:t>
      </w:r>
      <w:r w:rsidR="00151E43" w:rsidRPr="00442200">
        <w:rPr>
          <w:b/>
          <w:bCs/>
        </w:rPr>
        <w:t xml:space="preserve">évidence </w:t>
      </w:r>
      <w:r w:rsidR="00442200" w:rsidRPr="00442200">
        <w:rPr>
          <w:b/>
          <w:bCs/>
        </w:rPr>
        <w:t>plusieurs</w:t>
      </w:r>
      <w:r w:rsidR="00682058" w:rsidRPr="00442200">
        <w:rPr>
          <w:b/>
          <w:bCs/>
        </w:rPr>
        <w:t xml:space="preserve"> dysfonctionnements dans la chaîne</w:t>
      </w:r>
      <w:r w:rsidR="00151E43" w:rsidRPr="00442200">
        <w:rPr>
          <w:b/>
          <w:bCs/>
        </w:rPr>
        <w:t xml:space="preserve"> des exportations agricoles tchadiennes</w:t>
      </w:r>
      <w:r w:rsidR="00442200">
        <w:rPr>
          <w:b/>
          <w:bCs/>
        </w:rPr>
        <w:t>.</w:t>
      </w:r>
      <w:r w:rsidR="004A06B5">
        <w:rPr>
          <w:b/>
          <w:bCs/>
        </w:rPr>
        <w:t xml:space="preserve"> </w:t>
      </w:r>
    </w:p>
    <w:p w:rsidR="00353662" w:rsidRDefault="00151E43" w:rsidP="00353662">
      <w:pPr>
        <w:spacing w:before="100" w:beforeAutospacing="1" w:after="100" w:afterAutospacing="1"/>
        <w:jc w:val="both"/>
      </w:pPr>
      <w:r>
        <w:t>De</w:t>
      </w:r>
      <w:r w:rsidR="0080489F">
        <w:t xml:space="preserve"> plus, </w:t>
      </w:r>
      <w:r w:rsidR="00442200">
        <w:t xml:space="preserve">nous avons constaté que </w:t>
      </w:r>
      <w:r w:rsidR="00353662">
        <w:t xml:space="preserve">ces </w:t>
      </w:r>
      <w:r w:rsidR="00442200">
        <w:t xml:space="preserve">dysfonctionnements </w:t>
      </w:r>
      <w:r w:rsidR="00442200" w:rsidRPr="00BA6381">
        <w:rPr>
          <w:b/>
          <w:bCs/>
        </w:rPr>
        <w:t>ne sont pas des cas isolés,</w:t>
      </w:r>
      <w:r w:rsidR="00442200">
        <w:t xml:space="preserve"> car des </w:t>
      </w:r>
      <w:r w:rsidRPr="009614C0">
        <w:t>nuisibles</w:t>
      </w:r>
      <w:r>
        <w:t xml:space="preserve"> </w:t>
      </w:r>
      <w:r w:rsidR="00682058">
        <w:t>avaient</w:t>
      </w:r>
      <w:r w:rsidRPr="009614C0">
        <w:t xml:space="preserve"> déjà </w:t>
      </w:r>
      <w:r>
        <w:t xml:space="preserve">été </w:t>
      </w:r>
      <w:r w:rsidRPr="009614C0">
        <w:t>détectés par l’U</w:t>
      </w:r>
      <w:r>
        <w:t xml:space="preserve">nion </w:t>
      </w:r>
      <w:r w:rsidRPr="009614C0">
        <w:t>E</w:t>
      </w:r>
      <w:r>
        <w:t>uropéenne</w:t>
      </w:r>
      <w:r w:rsidRPr="009614C0">
        <w:t xml:space="preserve"> (</w:t>
      </w:r>
      <w:r w:rsidR="0080489F">
        <w:t>5</w:t>
      </w:r>
      <w:r w:rsidRPr="009614C0">
        <w:t xml:space="preserve"> cas depuis 2022) ayant conduit à la destruction des lots</w:t>
      </w:r>
      <w:r>
        <w:t xml:space="preserve">, </w:t>
      </w:r>
      <w:r w:rsidR="00BA6381">
        <w:t xml:space="preserve">mais aussi </w:t>
      </w:r>
      <w:r>
        <w:t>par la Turquie, l’Inde et d’autres destinations</w:t>
      </w:r>
      <w:r w:rsidRPr="009614C0">
        <w:t>.</w:t>
      </w:r>
      <w:r w:rsidR="004A2752">
        <w:t xml:space="preserve"> </w:t>
      </w:r>
    </w:p>
    <w:p w:rsidR="009335A5" w:rsidRDefault="00682058" w:rsidP="009335A5">
      <w:pPr>
        <w:spacing w:before="100" w:beforeAutospacing="1" w:after="100" w:afterAutospacing="1"/>
        <w:jc w:val="both"/>
      </w:pPr>
      <w:r>
        <w:t xml:space="preserve">Dans un contexte </w:t>
      </w:r>
      <w:r w:rsidR="004B5DD5">
        <w:t xml:space="preserve">de Zone de Libre-Échange Continental Africaine (ZLECAf) et de mise en œuvre du plan </w:t>
      </w:r>
      <w:r w:rsidR="00D5180E" w:rsidRPr="00D5180E">
        <w:rPr>
          <w:i/>
          <w:iCs/>
        </w:rPr>
        <w:t>Tchad Connexion 2030</w:t>
      </w:r>
      <w:r w:rsidR="00D5180E">
        <w:t xml:space="preserve"> visant la</w:t>
      </w:r>
      <w:r>
        <w:t xml:space="preserve"> diversification de l’économie tchadienne</w:t>
      </w:r>
      <w:r w:rsidR="00D5180E">
        <w:t xml:space="preserve"> et l’amélioration du climat des affaires</w:t>
      </w:r>
      <w:r w:rsidR="004B5DD5">
        <w:t xml:space="preserve"> de</w:t>
      </w:r>
      <w:r>
        <w:t>, i</w:t>
      </w:r>
      <w:r w:rsidR="00151E43">
        <w:t xml:space="preserve">l est impératif pour le </w:t>
      </w:r>
      <w:r w:rsidR="00F0365C">
        <w:t>Ministère du Commerce et de l’Industrie</w:t>
      </w:r>
      <w:r w:rsidR="00151E43">
        <w:t xml:space="preserve"> de</w:t>
      </w:r>
      <w:r w:rsidR="00151E43" w:rsidRPr="00151E43">
        <w:rPr>
          <w:rFonts w:asciiTheme="majorBidi" w:hAnsiTheme="majorBidi" w:cstheme="majorBidi"/>
        </w:rPr>
        <w:t xml:space="preserve"> </w:t>
      </w:r>
      <w:r w:rsidR="00151E43" w:rsidRPr="0064424F">
        <w:rPr>
          <w:rFonts w:asciiTheme="majorBidi" w:hAnsiTheme="majorBidi" w:cstheme="majorBidi"/>
        </w:rPr>
        <w:t>renforcer l’</w:t>
      </w:r>
      <w:r w:rsidR="00151E43" w:rsidRPr="0064424F">
        <w:rPr>
          <w:rFonts w:asciiTheme="majorBidi" w:hAnsiTheme="majorBidi" w:cstheme="majorBidi"/>
          <w:b/>
          <w:bCs/>
        </w:rPr>
        <w:t>encadrement, la coordination et la structuration</w:t>
      </w:r>
      <w:r w:rsidR="00151E43" w:rsidRPr="0064424F">
        <w:rPr>
          <w:rFonts w:asciiTheme="majorBidi" w:hAnsiTheme="majorBidi" w:cstheme="majorBidi"/>
        </w:rPr>
        <w:t xml:space="preserve"> de</w:t>
      </w:r>
      <w:r w:rsidR="00451E8E">
        <w:rPr>
          <w:rFonts w:asciiTheme="majorBidi" w:hAnsiTheme="majorBidi" w:cstheme="majorBidi"/>
        </w:rPr>
        <w:t xml:space="preserve"> la</w:t>
      </w:r>
      <w:r w:rsidR="00151E43" w:rsidRPr="0064424F">
        <w:rPr>
          <w:rFonts w:asciiTheme="majorBidi" w:hAnsiTheme="majorBidi" w:cstheme="majorBidi"/>
        </w:rPr>
        <w:t xml:space="preserve"> chaîne</w:t>
      </w:r>
      <w:r w:rsidR="00451E8E">
        <w:rPr>
          <w:rFonts w:asciiTheme="majorBidi" w:hAnsiTheme="majorBidi" w:cstheme="majorBidi"/>
        </w:rPr>
        <w:t>s</w:t>
      </w:r>
      <w:r w:rsidR="00AD106D">
        <w:rPr>
          <w:rFonts w:asciiTheme="majorBidi" w:hAnsiTheme="majorBidi" w:cstheme="majorBidi"/>
        </w:rPr>
        <w:t xml:space="preserve"> de valeur</w:t>
      </w:r>
      <w:r w:rsidR="00151E43" w:rsidRPr="0064424F">
        <w:rPr>
          <w:rFonts w:asciiTheme="majorBidi" w:hAnsiTheme="majorBidi" w:cstheme="majorBidi"/>
        </w:rPr>
        <w:t xml:space="preserve"> d’exportation</w:t>
      </w:r>
      <w:r w:rsidR="00F70D7F">
        <w:rPr>
          <w:rFonts w:asciiTheme="majorBidi" w:hAnsiTheme="majorBidi" w:cstheme="majorBidi"/>
        </w:rPr>
        <w:t>, afin de palier auxdits dysfonctionnements</w:t>
      </w:r>
      <w:r w:rsidR="009335A5">
        <w:t xml:space="preserve">. </w:t>
      </w:r>
    </w:p>
    <w:p w:rsidR="001B68BB" w:rsidRDefault="009335A5" w:rsidP="00737D04">
      <w:pPr>
        <w:spacing w:before="100" w:beforeAutospacing="1" w:after="100" w:afterAutospacing="1"/>
        <w:jc w:val="both"/>
      </w:pPr>
      <w:r>
        <w:t>Cela concerne les</w:t>
      </w:r>
      <w:r w:rsidR="0080489F">
        <w:t xml:space="preserve"> </w:t>
      </w:r>
      <w:r w:rsidRPr="009335A5">
        <w:rPr>
          <w:b/>
          <w:bCs/>
        </w:rPr>
        <w:t>produits agricoles destinés à l’exportation</w:t>
      </w:r>
      <w:r w:rsidRPr="009335A5">
        <w:t>, notamment le sésame, l’arachide, la gomme arabique, ainsi que tout autre produit agricole soumis à des exigences sanitaires, phytosanitaires ou de qualité sur les marchés internationaux.</w:t>
      </w:r>
      <w:r w:rsidR="004A2752">
        <w:t xml:space="preserve"> </w:t>
      </w:r>
    </w:p>
    <w:p w:rsidR="00002EBE" w:rsidRPr="00737D04" w:rsidRDefault="00E61547" w:rsidP="004A2752">
      <w:pPr>
        <w:spacing w:before="100" w:beforeAutospacing="1" w:after="100" w:afterAutospacing="1"/>
        <w:jc w:val="both"/>
      </w:pPr>
      <w:r>
        <w:t xml:space="preserve">Par ailleurs, cette réforme vise également un changement de paradigme au niveau de la chaîne d’exportation qui consistera à mettre l’accent sur la </w:t>
      </w:r>
      <w:r w:rsidRPr="00E61547">
        <w:rPr>
          <w:b/>
          <w:bCs/>
        </w:rPr>
        <w:t xml:space="preserve">transformation </w:t>
      </w:r>
      <w:r>
        <w:t>afin de valoriser les produits et d’apporter une plus-value à l’économie tchadienne.</w:t>
      </w:r>
      <w:r w:rsidR="004A2752">
        <w:t xml:space="preserve"> </w:t>
      </w:r>
    </w:p>
    <w:p w:rsidR="0093600B" w:rsidRPr="000D230F" w:rsidRDefault="0093600B" w:rsidP="0047080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151E43">
        <w:rPr>
          <w:rFonts w:asciiTheme="majorBidi" w:hAnsiTheme="majorBidi" w:cstheme="majorBidi"/>
          <w:b/>
          <w:bCs/>
        </w:rPr>
        <w:t xml:space="preserve">Tableau de constat des </w:t>
      </w:r>
      <w:r w:rsidR="00682058">
        <w:rPr>
          <w:rFonts w:asciiTheme="majorBidi" w:hAnsiTheme="majorBidi" w:cstheme="majorBidi"/>
          <w:b/>
          <w:bCs/>
        </w:rPr>
        <w:t>dysfonctionnements</w:t>
      </w:r>
      <w:r w:rsidRPr="00151E43">
        <w:rPr>
          <w:rFonts w:asciiTheme="majorBidi" w:hAnsiTheme="majorBidi" w:cstheme="majorBidi"/>
          <w:b/>
          <w:bCs/>
        </w:rPr>
        <w:t xml:space="preserve"> dans la chaîne d’exportation </w:t>
      </w:r>
      <w:r w:rsidR="000D230F">
        <w:rPr>
          <w:rFonts w:asciiTheme="majorBidi" w:hAnsiTheme="majorBidi" w:cstheme="majorBidi"/>
          <w:b/>
          <w:bCs/>
        </w:rPr>
        <w:t xml:space="preserve">des </w:t>
      </w:r>
      <w:r w:rsidR="00CC07AB" w:rsidRPr="000D230F">
        <w:rPr>
          <w:rFonts w:asciiTheme="majorBidi" w:hAnsiTheme="majorBidi" w:cstheme="majorBidi"/>
          <w:b/>
          <w:bCs/>
        </w:rPr>
        <w:t>produits agricoles (sésame, arachide, gomme arabique etc.)</w:t>
      </w:r>
      <w:r w:rsidR="000D230F">
        <w:rPr>
          <w:rFonts w:asciiTheme="majorBidi" w:hAnsiTheme="majorBidi" w:cstheme="majorBidi"/>
          <w:b/>
          <w:bCs/>
        </w:rPr>
        <w:br/>
      </w:r>
    </w:p>
    <w:tbl>
      <w:tblPr>
        <w:tblW w:w="95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7040"/>
      </w:tblGrid>
      <w:tr w:rsidR="00183084" w:rsidRPr="00151E43" w:rsidTr="007E64E2">
        <w:trPr>
          <w:trHeight w:val="338"/>
          <w:tblHeader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BF1508" w:rsidRDefault="00183084" w:rsidP="0093600B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</w:rPr>
            </w:pPr>
            <w:r w:rsidRPr="00BF1508">
              <w:rPr>
                <w:rFonts w:asciiTheme="majorBidi" w:hAnsiTheme="majorBidi" w:cstheme="majorBidi"/>
                <w:b/>
                <w:bCs/>
                <w:color w:val="4472C4" w:themeColor="accent1"/>
              </w:rPr>
              <w:lastRenderedPageBreak/>
              <w:t>Acteur</w:t>
            </w:r>
            <w:r w:rsidR="00B04FD0" w:rsidRPr="00BF1508">
              <w:rPr>
                <w:rFonts w:asciiTheme="majorBidi" w:hAnsiTheme="majorBidi" w:cstheme="majorBidi"/>
                <w:b/>
                <w:bCs/>
                <w:color w:val="4472C4" w:themeColor="accent1"/>
              </w:rPr>
              <w:t>s</w:t>
            </w:r>
          </w:p>
        </w:tc>
        <w:tc>
          <w:tcPr>
            <w:tcW w:w="6995" w:type="dxa"/>
            <w:vAlign w:val="center"/>
            <w:hideMark/>
          </w:tcPr>
          <w:p w:rsidR="00183084" w:rsidRPr="00BF1508" w:rsidRDefault="00F70D7F" w:rsidP="0093600B">
            <w:pPr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</w:rPr>
            </w:pPr>
            <w:r w:rsidRPr="00BF1508">
              <w:rPr>
                <w:rFonts w:asciiTheme="majorBidi" w:hAnsiTheme="majorBidi" w:cstheme="majorBidi"/>
                <w:b/>
                <w:bCs/>
                <w:color w:val="4472C4" w:themeColor="accent1"/>
              </w:rPr>
              <w:t>Dysfonctionnements</w:t>
            </w:r>
            <w:r w:rsidR="00183084" w:rsidRPr="00BF1508">
              <w:rPr>
                <w:rFonts w:asciiTheme="majorBidi" w:hAnsiTheme="majorBidi" w:cstheme="majorBidi"/>
                <w:b/>
                <w:bCs/>
                <w:color w:val="4472C4" w:themeColor="accent1"/>
              </w:rPr>
              <w:t xml:space="preserve"> constatés</w:t>
            </w:r>
          </w:p>
        </w:tc>
      </w:tr>
      <w:tr w:rsidR="00183084" w:rsidRPr="00151E43" w:rsidTr="007E64E2">
        <w:trPr>
          <w:trHeight w:val="1705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Producteurs (amont)</w:t>
            </w:r>
          </w:p>
        </w:tc>
        <w:tc>
          <w:tcPr>
            <w:tcW w:w="6995" w:type="dxa"/>
            <w:vAlign w:val="center"/>
            <w:hideMark/>
          </w:tcPr>
          <w:p w:rsidR="00183084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Faible structuration des filières au niveau provincial </w:t>
            </w:r>
            <w:r w:rsidRPr="0093600B">
              <w:rPr>
                <w:rFonts w:asciiTheme="majorBidi" w:hAnsiTheme="majorBidi" w:cstheme="majorBidi"/>
              </w:rPr>
              <w:br/>
              <w:t xml:space="preserve">• Semences peu performantes et insuffisamment améliorées </w:t>
            </w:r>
            <w:r w:rsidRPr="0093600B">
              <w:rPr>
                <w:rFonts w:asciiTheme="majorBidi" w:hAnsiTheme="majorBidi" w:cstheme="majorBidi"/>
              </w:rPr>
              <w:br/>
              <w:t>• Faible maîtrise des bonnes pratiques post-récolte</w:t>
            </w:r>
            <w:r w:rsidR="002721EB">
              <w:rPr>
                <w:rFonts w:asciiTheme="majorBidi" w:hAnsiTheme="majorBidi" w:cstheme="majorBidi"/>
              </w:rPr>
              <w:t xml:space="preserve"> </w:t>
            </w:r>
          </w:p>
          <w:p w:rsidR="00353EB5" w:rsidRDefault="00353EB5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>
              <w:rPr>
                <w:rFonts w:asciiTheme="majorBidi" w:hAnsiTheme="majorBidi" w:cstheme="majorBidi"/>
              </w:rPr>
              <w:t>Absence de centre de tri, récolte et entrepôt à proximité</w:t>
            </w:r>
            <w:r w:rsidR="002721EB">
              <w:rPr>
                <w:rFonts w:asciiTheme="majorBidi" w:hAnsiTheme="majorBidi" w:cstheme="majorBidi"/>
              </w:rPr>
              <w:t xml:space="preserve"> </w:t>
            </w:r>
          </w:p>
          <w:p w:rsidR="007E1BCE" w:rsidRDefault="007E1BCE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 Méconnaissance ou non-respect des exigences phytosanitaires</w:t>
            </w:r>
            <w:r w:rsidR="00FF2297">
              <w:rPr>
                <w:rFonts w:asciiTheme="majorBidi" w:hAnsiTheme="majorBidi" w:cstheme="majorBidi"/>
              </w:rPr>
              <w:t xml:space="preserve"> </w:t>
            </w:r>
          </w:p>
          <w:p w:rsidR="007E1BCE" w:rsidRPr="0093600B" w:rsidRDefault="00F6668F" w:rsidP="00F6668F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>
              <w:rPr>
                <w:rFonts w:asciiTheme="majorBidi" w:hAnsiTheme="majorBidi" w:cstheme="majorBidi"/>
              </w:rPr>
              <w:t xml:space="preserve">Absence de transformation </w:t>
            </w:r>
          </w:p>
        </w:tc>
      </w:tr>
      <w:tr w:rsidR="00183084" w:rsidRPr="00151E43" w:rsidTr="007E64E2">
        <w:trPr>
          <w:trHeight w:val="1124"/>
          <w:tblCellSpacing w:w="15" w:type="dxa"/>
        </w:trPr>
        <w:tc>
          <w:tcPr>
            <w:tcW w:w="2485" w:type="dxa"/>
            <w:vAlign w:val="center"/>
            <w:hideMark/>
          </w:tcPr>
          <w:p w:rsidR="001955B3" w:rsidRPr="003E297F" w:rsidRDefault="001955B3" w:rsidP="001955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Collecteurs / Intermédiaires</w:t>
            </w:r>
          </w:p>
        </w:tc>
        <w:tc>
          <w:tcPr>
            <w:tcW w:w="6995" w:type="dxa"/>
            <w:vAlign w:val="center"/>
            <w:hideMark/>
          </w:tcPr>
          <w:p w:rsidR="00183084" w:rsidRPr="0093600B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 w:rsidR="00353EB5">
              <w:rPr>
                <w:rFonts w:asciiTheme="majorBidi" w:hAnsiTheme="majorBidi" w:cstheme="majorBidi"/>
              </w:rPr>
              <w:t>Nombreuses i</w:t>
            </w:r>
            <w:r w:rsidRPr="0093600B">
              <w:rPr>
                <w:rFonts w:asciiTheme="majorBidi" w:hAnsiTheme="majorBidi" w:cstheme="majorBidi"/>
              </w:rPr>
              <w:t xml:space="preserve">ntervention d’acteurs hors filière </w:t>
            </w:r>
            <w:r w:rsidRPr="0093600B">
              <w:rPr>
                <w:rFonts w:asciiTheme="majorBidi" w:hAnsiTheme="majorBidi" w:cstheme="majorBidi"/>
              </w:rPr>
              <w:br/>
              <w:t xml:space="preserve">• </w:t>
            </w:r>
            <w:r w:rsidR="00A27A29">
              <w:rPr>
                <w:rFonts w:asciiTheme="majorBidi" w:hAnsiTheme="majorBidi" w:cstheme="majorBidi"/>
              </w:rPr>
              <w:t>Pratiques s</w:t>
            </w:r>
            <w:r w:rsidRPr="0093600B">
              <w:rPr>
                <w:rFonts w:asciiTheme="majorBidi" w:hAnsiTheme="majorBidi" w:cstheme="majorBidi"/>
              </w:rPr>
              <w:t>péculat</w:t>
            </w:r>
            <w:r w:rsidR="00A27A29">
              <w:rPr>
                <w:rFonts w:asciiTheme="majorBidi" w:hAnsiTheme="majorBidi" w:cstheme="majorBidi"/>
              </w:rPr>
              <w:t>rice</w:t>
            </w:r>
            <w:r w:rsidRPr="0093600B">
              <w:rPr>
                <w:rFonts w:asciiTheme="majorBidi" w:hAnsiTheme="majorBidi" w:cstheme="majorBidi"/>
              </w:rPr>
              <w:t xml:space="preserve"> et stockage prolongé dans des conditions non conformes</w:t>
            </w:r>
            <w:r w:rsidR="002721EB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83084" w:rsidRPr="00151E43" w:rsidTr="007E64E2">
        <w:trPr>
          <w:trHeight w:val="2894"/>
          <w:tblCellSpacing w:w="15" w:type="dxa"/>
        </w:trPr>
        <w:tc>
          <w:tcPr>
            <w:tcW w:w="2485" w:type="dxa"/>
            <w:vAlign w:val="center"/>
            <w:hideMark/>
          </w:tcPr>
          <w:p w:rsidR="001955B3" w:rsidRDefault="001955B3" w:rsidP="00FF229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Exportateurs</w:t>
            </w:r>
          </w:p>
          <w:p w:rsidR="001955B3" w:rsidRDefault="001955B3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95" w:type="dxa"/>
            <w:vAlign w:val="center"/>
            <w:hideMark/>
          </w:tcPr>
          <w:p w:rsidR="00696E08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Existence d’entreprises « écrans » sans </w:t>
            </w:r>
            <w:r w:rsidRPr="00151E43">
              <w:rPr>
                <w:rFonts w:asciiTheme="majorBidi" w:hAnsiTheme="majorBidi" w:cstheme="majorBidi"/>
              </w:rPr>
              <w:t>entrepôts</w:t>
            </w:r>
            <w:r w:rsidRPr="0093600B">
              <w:rPr>
                <w:rFonts w:asciiTheme="majorBidi" w:hAnsiTheme="majorBidi" w:cstheme="majorBidi"/>
              </w:rPr>
              <w:t xml:space="preserve"> </w:t>
            </w:r>
            <w:r w:rsidRPr="0093600B">
              <w:rPr>
                <w:rFonts w:asciiTheme="majorBidi" w:hAnsiTheme="majorBidi" w:cstheme="majorBidi"/>
              </w:rPr>
              <w:br/>
              <w:t xml:space="preserve">• Beaucoup d’exportateurs sont des transitaires et non des producteurs </w:t>
            </w:r>
            <w:r w:rsidRPr="00151E43">
              <w:rPr>
                <w:rFonts w:asciiTheme="majorBidi" w:hAnsiTheme="majorBidi" w:cstheme="majorBidi"/>
              </w:rPr>
              <w:t>ou professionnels du domaine</w:t>
            </w:r>
            <w:r w:rsidR="007E64E2">
              <w:rPr>
                <w:rFonts w:asciiTheme="majorBidi" w:hAnsiTheme="majorBidi" w:cstheme="majorBidi"/>
              </w:rPr>
              <w:t xml:space="preserve"> </w:t>
            </w:r>
          </w:p>
          <w:p w:rsidR="00183084" w:rsidRPr="00151E43" w:rsidRDefault="007E1BCE" w:rsidP="001955B3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 Méconnaissance ou non-respect des exigences phytosanitaires</w:t>
            </w:r>
            <w:r w:rsidR="007E64E2">
              <w:rPr>
                <w:rFonts w:asciiTheme="majorBidi" w:hAnsiTheme="majorBidi" w:cstheme="majorBidi"/>
              </w:rPr>
              <w:t xml:space="preserve"> </w:t>
            </w:r>
            <w:r w:rsidR="00183084" w:rsidRPr="0093600B">
              <w:rPr>
                <w:rFonts w:asciiTheme="majorBidi" w:hAnsiTheme="majorBidi" w:cstheme="majorBidi"/>
              </w:rPr>
              <w:br/>
              <w:t xml:space="preserve">• Difficultés d’inscription sur les listes officielles </w:t>
            </w:r>
            <w:r w:rsidR="00183084" w:rsidRPr="00151E43">
              <w:rPr>
                <w:rFonts w:asciiTheme="majorBidi" w:hAnsiTheme="majorBidi" w:cstheme="majorBidi"/>
              </w:rPr>
              <w:t>pour les réels acteurs</w:t>
            </w:r>
            <w:r w:rsidR="002721EB">
              <w:rPr>
                <w:rFonts w:asciiTheme="majorBidi" w:hAnsiTheme="majorBidi" w:cstheme="majorBidi"/>
              </w:rPr>
              <w:t xml:space="preserve"> </w:t>
            </w:r>
            <w:r w:rsidR="00183084" w:rsidRPr="0093600B">
              <w:rPr>
                <w:rFonts w:asciiTheme="majorBidi" w:hAnsiTheme="majorBidi" w:cstheme="majorBidi"/>
              </w:rPr>
              <w:br/>
              <w:t xml:space="preserve">• Accès </w:t>
            </w:r>
            <w:r w:rsidR="00183084" w:rsidRPr="00151E43">
              <w:rPr>
                <w:rFonts w:asciiTheme="majorBidi" w:hAnsiTheme="majorBidi" w:cstheme="majorBidi"/>
              </w:rPr>
              <w:t>difficile</w:t>
            </w:r>
            <w:r w:rsidR="00183084" w:rsidRPr="0093600B">
              <w:rPr>
                <w:rFonts w:asciiTheme="majorBidi" w:hAnsiTheme="majorBidi" w:cstheme="majorBidi"/>
              </w:rPr>
              <w:t xml:space="preserve"> aux documents phytosanitaires </w:t>
            </w:r>
            <w:r w:rsidR="00183084" w:rsidRPr="00151E43">
              <w:rPr>
                <w:rFonts w:asciiTheme="majorBidi" w:hAnsiTheme="majorBidi" w:cstheme="majorBidi"/>
              </w:rPr>
              <w:t xml:space="preserve">de la DPVC </w:t>
            </w:r>
            <w:r w:rsidR="00183084" w:rsidRPr="0093600B">
              <w:rPr>
                <w:rFonts w:asciiTheme="majorBidi" w:hAnsiTheme="majorBidi" w:cstheme="majorBidi"/>
              </w:rPr>
              <w:t>traduits</w:t>
            </w:r>
            <w:r w:rsidR="002721EB">
              <w:rPr>
                <w:rFonts w:asciiTheme="majorBidi" w:hAnsiTheme="majorBidi" w:cstheme="majorBidi"/>
              </w:rPr>
              <w:t xml:space="preserve"> </w:t>
            </w:r>
            <w:r w:rsidR="007E64E2">
              <w:rPr>
                <w:rFonts w:asciiTheme="majorBidi" w:hAnsiTheme="majorBidi" w:cstheme="majorBidi"/>
              </w:rPr>
              <w:t xml:space="preserve">en anglais </w:t>
            </w:r>
          </w:p>
          <w:p w:rsidR="00183084" w:rsidRDefault="00183084" w:rsidP="00CC07A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 w:rsidRPr="00151E43">
              <w:rPr>
                <w:rFonts w:asciiTheme="majorBidi" w:hAnsiTheme="majorBidi" w:cstheme="majorBidi"/>
              </w:rPr>
              <w:t>Nombreuses pertes de ressources (conditions,</w:t>
            </w:r>
            <w:r w:rsidR="00FF2297">
              <w:rPr>
                <w:rFonts w:asciiTheme="majorBidi" w:hAnsiTheme="majorBidi" w:cstheme="majorBidi"/>
              </w:rPr>
              <w:t xml:space="preserve"> procédures,</w:t>
            </w:r>
            <w:r w:rsidRPr="00151E43">
              <w:rPr>
                <w:rFonts w:asciiTheme="majorBidi" w:hAnsiTheme="majorBidi" w:cstheme="majorBidi"/>
              </w:rPr>
              <w:t xml:space="preserve"> taxes</w:t>
            </w:r>
            <w:r w:rsidR="00FF2297">
              <w:rPr>
                <w:rFonts w:asciiTheme="majorBidi" w:hAnsiTheme="majorBidi" w:cstheme="majorBidi"/>
              </w:rPr>
              <w:t xml:space="preserve"> officielles et officieuses</w:t>
            </w:r>
            <w:r w:rsidRPr="00151E43">
              <w:rPr>
                <w:rFonts w:asciiTheme="majorBidi" w:hAnsiTheme="majorBidi" w:cstheme="majorBidi"/>
              </w:rPr>
              <w:t>, transports etc.)</w:t>
            </w:r>
            <w:r w:rsidR="007E64E2">
              <w:rPr>
                <w:rFonts w:asciiTheme="majorBidi" w:hAnsiTheme="majorBidi" w:cstheme="majorBidi"/>
              </w:rPr>
              <w:t xml:space="preserve"> </w:t>
            </w:r>
          </w:p>
          <w:p w:rsidR="001955B3" w:rsidRPr="00151E43" w:rsidRDefault="001955B3" w:rsidP="00CC07A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 Méconnaissance ou non-respect des exigences phytosanitaires</w:t>
            </w:r>
            <w:r w:rsidR="007E64E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83084" w:rsidRPr="00151E43" w:rsidTr="007E64E2">
        <w:trPr>
          <w:trHeight w:val="1269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Entrepôts et stockage</w:t>
            </w:r>
          </w:p>
        </w:tc>
        <w:tc>
          <w:tcPr>
            <w:tcW w:w="6995" w:type="dxa"/>
            <w:vAlign w:val="center"/>
            <w:hideMark/>
          </w:tcPr>
          <w:p w:rsidR="00183084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Absence ou insuffisance d’entrepôts conformes </w:t>
            </w:r>
            <w:r w:rsidRPr="0093600B">
              <w:rPr>
                <w:rFonts w:asciiTheme="majorBidi" w:hAnsiTheme="majorBidi" w:cstheme="majorBidi"/>
              </w:rPr>
              <w:br/>
              <w:t>• Inspections insuffisantes</w:t>
            </w:r>
            <w:r w:rsidR="00AB56FC">
              <w:rPr>
                <w:rFonts w:asciiTheme="majorBidi" w:hAnsiTheme="majorBidi" w:cstheme="majorBidi"/>
              </w:rPr>
              <w:t xml:space="preserve"> </w:t>
            </w:r>
          </w:p>
          <w:p w:rsidR="00FF2297" w:rsidRPr="0093600B" w:rsidRDefault="00FF2297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 Méconnaissance ou non-respect des exigences phytosanitaires</w:t>
            </w:r>
            <w:r w:rsidR="00AB56FC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83084" w:rsidRPr="00151E43" w:rsidTr="007E64E2">
        <w:trPr>
          <w:trHeight w:val="1261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CECOQDA</w:t>
            </w:r>
          </w:p>
        </w:tc>
        <w:tc>
          <w:tcPr>
            <w:tcW w:w="6995" w:type="dxa"/>
            <w:vAlign w:val="center"/>
            <w:hideMark/>
          </w:tcPr>
          <w:p w:rsidR="00AB56FC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Certificat phytosanitaire délivré </w:t>
            </w:r>
            <w:r w:rsidRPr="00151E43">
              <w:rPr>
                <w:rFonts w:asciiTheme="majorBidi" w:hAnsiTheme="majorBidi" w:cstheme="majorBidi"/>
              </w:rPr>
              <w:t xml:space="preserve">pour le moment </w:t>
            </w:r>
            <w:r w:rsidRPr="0093600B">
              <w:rPr>
                <w:rFonts w:asciiTheme="majorBidi" w:hAnsiTheme="majorBidi" w:cstheme="majorBidi"/>
              </w:rPr>
              <w:t xml:space="preserve">sans rapport d’analyse </w:t>
            </w:r>
            <w:r w:rsidRPr="0093600B">
              <w:rPr>
                <w:rFonts w:asciiTheme="majorBidi" w:hAnsiTheme="majorBidi" w:cstheme="majorBidi"/>
              </w:rPr>
              <w:br/>
              <w:t>• Insuffisance des contrôles approfondis (visuels, microscopiques, labo)</w:t>
            </w:r>
          </w:p>
          <w:p w:rsidR="00183084" w:rsidRPr="0093600B" w:rsidRDefault="00AB56FC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</w:t>
            </w:r>
            <w:r>
              <w:rPr>
                <w:rFonts w:asciiTheme="majorBidi" w:hAnsiTheme="majorBidi" w:cstheme="majorBidi"/>
              </w:rPr>
              <w:t xml:space="preserve"> Coordination </w:t>
            </w:r>
            <w:r>
              <w:t>insuffisante avec certains acteurs, le CECOQDA n’étant pas systématiquement associé aux procédures</w:t>
            </w:r>
          </w:p>
        </w:tc>
      </w:tr>
      <w:tr w:rsidR="00183084" w:rsidRPr="00151E43" w:rsidTr="007E64E2">
        <w:trPr>
          <w:trHeight w:val="1398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ATNOR</w:t>
            </w:r>
          </w:p>
        </w:tc>
        <w:tc>
          <w:tcPr>
            <w:tcW w:w="6995" w:type="dxa"/>
            <w:vAlign w:val="center"/>
            <w:hideMark/>
          </w:tcPr>
          <w:p w:rsidR="00183084" w:rsidRPr="0093600B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Normalisation encore incomplète </w:t>
            </w:r>
            <w:r w:rsidRPr="0093600B">
              <w:rPr>
                <w:rFonts w:asciiTheme="majorBidi" w:hAnsiTheme="majorBidi" w:cstheme="majorBidi"/>
              </w:rPr>
              <w:br/>
              <w:t xml:space="preserve">• </w:t>
            </w:r>
            <w:r w:rsidRPr="00151E43">
              <w:rPr>
                <w:rFonts w:asciiTheme="majorBidi" w:hAnsiTheme="majorBidi" w:cstheme="majorBidi"/>
              </w:rPr>
              <w:t>S</w:t>
            </w:r>
            <w:r w:rsidRPr="0093600B">
              <w:rPr>
                <w:rFonts w:asciiTheme="majorBidi" w:hAnsiTheme="majorBidi" w:cstheme="majorBidi"/>
              </w:rPr>
              <w:t>ystème d’évaluation de la conformité</w:t>
            </w:r>
            <w:r w:rsidR="00AB56FC">
              <w:rPr>
                <w:rFonts w:asciiTheme="majorBidi" w:hAnsiTheme="majorBidi" w:cstheme="majorBidi"/>
              </w:rPr>
              <w:t xml:space="preserve"> des produits </w:t>
            </w:r>
            <w:r w:rsidRPr="00151E43">
              <w:rPr>
                <w:rFonts w:asciiTheme="majorBidi" w:hAnsiTheme="majorBidi" w:cstheme="majorBidi"/>
              </w:rPr>
              <w:t>pas encore opérationnel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  <w:r w:rsidRPr="0093600B">
              <w:rPr>
                <w:rFonts w:asciiTheme="majorBidi" w:hAnsiTheme="majorBidi" w:cstheme="majorBidi"/>
              </w:rPr>
              <w:br/>
              <w:t>• Faible taux de certification des opérateurs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183084" w:rsidRPr="00151E43" w:rsidTr="007E64E2">
        <w:trPr>
          <w:trHeight w:val="121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51E43" w:rsidP="00981CB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MPIA / </w:t>
            </w:r>
            <w:r w:rsidR="00183084" w:rsidRPr="0093600B">
              <w:rPr>
                <w:rFonts w:asciiTheme="majorBidi" w:hAnsiTheme="majorBidi" w:cstheme="majorBidi"/>
                <w:b/>
                <w:bCs/>
              </w:rPr>
              <w:t>DPVC / Police sanitaire</w:t>
            </w:r>
          </w:p>
        </w:tc>
        <w:tc>
          <w:tcPr>
            <w:tcW w:w="6995" w:type="dxa"/>
            <w:vAlign w:val="center"/>
            <w:hideMark/>
          </w:tcPr>
          <w:p w:rsidR="007E64E2" w:rsidRDefault="007E64E2" w:rsidP="0093600B">
            <w:pPr>
              <w:rPr>
                <w:rFonts w:asciiTheme="majorBidi" w:hAnsiTheme="majorBidi" w:cstheme="majorBidi"/>
              </w:rPr>
            </w:pPr>
          </w:p>
          <w:p w:rsidR="00183084" w:rsidRDefault="00183084" w:rsidP="007E64E2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Coordination insuffisante avec les autres structures </w:t>
            </w:r>
            <w:r w:rsidRPr="0093600B">
              <w:rPr>
                <w:rFonts w:asciiTheme="majorBidi" w:hAnsiTheme="majorBidi" w:cstheme="majorBidi"/>
              </w:rPr>
              <w:br/>
              <w:t>• Rôles, procédures et délais insuffisamment clarifiés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</w:p>
          <w:p w:rsidR="007E64E2" w:rsidRDefault="007E64E2" w:rsidP="007E64E2">
            <w:pPr>
              <w:rPr>
                <w:rFonts w:asciiTheme="majorBidi" w:hAnsiTheme="majorBidi" w:cstheme="majorBidi"/>
              </w:rPr>
            </w:pPr>
          </w:p>
          <w:p w:rsidR="007E64E2" w:rsidRPr="0093600B" w:rsidRDefault="007E64E2" w:rsidP="0093600B">
            <w:pPr>
              <w:rPr>
                <w:rFonts w:asciiTheme="majorBidi" w:hAnsiTheme="majorBidi" w:cstheme="majorBidi"/>
              </w:rPr>
            </w:pPr>
          </w:p>
        </w:tc>
      </w:tr>
      <w:tr w:rsidR="00183084" w:rsidRPr="00151E43" w:rsidTr="007E64E2">
        <w:trPr>
          <w:trHeight w:val="121"/>
          <w:tblCellSpacing w:w="15" w:type="dxa"/>
        </w:trPr>
        <w:tc>
          <w:tcPr>
            <w:tcW w:w="2485" w:type="dxa"/>
            <w:vAlign w:val="center"/>
            <w:hideMark/>
          </w:tcPr>
          <w:p w:rsidR="007E64E2" w:rsidRDefault="007E64E2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E64E2" w:rsidRDefault="007E64E2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E64E2" w:rsidRDefault="007E64E2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E64E2" w:rsidRDefault="001663EF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MCI</w:t>
            </w:r>
          </w:p>
          <w:p w:rsidR="007E64E2" w:rsidRDefault="007E64E2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E64E2" w:rsidRDefault="007E64E2" w:rsidP="00981C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MCI</w:t>
            </w:r>
          </w:p>
        </w:tc>
        <w:tc>
          <w:tcPr>
            <w:tcW w:w="6995" w:type="dxa"/>
            <w:vAlign w:val="center"/>
            <w:hideMark/>
          </w:tcPr>
          <w:p w:rsidR="00151E43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 w:rsidRPr="00151E43">
              <w:rPr>
                <w:rFonts w:asciiTheme="majorBidi" w:hAnsiTheme="majorBidi" w:cstheme="majorBidi"/>
              </w:rPr>
              <w:t>Contrôle et s</w:t>
            </w:r>
            <w:r w:rsidRPr="0093600B">
              <w:rPr>
                <w:rFonts w:asciiTheme="majorBidi" w:hAnsiTheme="majorBidi" w:cstheme="majorBidi"/>
              </w:rPr>
              <w:t>uivi insuffisant</w:t>
            </w:r>
            <w:r w:rsidRPr="00151E43">
              <w:rPr>
                <w:rFonts w:asciiTheme="majorBidi" w:hAnsiTheme="majorBidi" w:cstheme="majorBidi"/>
              </w:rPr>
              <w:t>s</w:t>
            </w:r>
            <w:r w:rsidRPr="0093600B">
              <w:rPr>
                <w:rFonts w:asciiTheme="majorBidi" w:hAnsiTheme="majorBidi" w:cstheme="majorBidi"/>
              </w:rPr>
              <w:t xml:space="preserve"> en amont avant délivrance des autorisations </w:t>
            </w:r>
          </w:p>
          <w:p w:rsidR="00183084" w:rsidRPr="00151E43" w:rsidRDefault="00151E43" w:rsidP="007E64E2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>
              <w:rPr>
                <w:rFonts w:asciiTheme="majorBidi" w:hAnsiTheme="majorBidi" w:cstheme="majorBidi"/>
              </w:rPr>
              <w:t>Absence de structuration des produits agricoles par filière</w:t>
            </w:r>
            <w:r w:rsidRPr="0093600B">
              <w:rPr>
                <w:rFonts w:asciiTheme="majorBidi" w:hAnsiTheme="majorBidi" w:cstheme="majorBidi"/>
              </w:rPr>
              <w:t xml:space="preserve"> </w:t>
            </w:r>
            <w:r w:rsidR="00183084" w:rsidRPr="0093600B">
              <w:rPr>
                <w:rFonts w:asciiTheme="majorBidi" w:hAnsiTheme="majorBidi" w:cstheme="majorBidi"/>
              </w:rPr>
              <w:br/>
              <w:t xml:space="preserve">• Listes d’exportateurs non régulièrement mises à jour </w:t>
            </w:r>
            <w:r w:rsidR="00183084" w:rsidRPr="0093600B">
              <w:rPr>
                <w:rFonts w:asciiTheme="majorBidi" w:hAnsiTheme="majorBidi" w:cstheme="majorBidi"/>
              </w:rPr>
              <w:br/>
              <w:t xml:space="preserve">• Protocole Tchad–Chine non accessible/opérationnalisé </w:t>
            </w:r>
            <w:r w:rsidR="00183084" w:rsidRPr="0093600B">
              <w:rPr>
                <w:rFonts w:asciiTheme="majorBidi" w:hAnsiTheme="majorBidi" w:cstheme="majorBidi"/>
              </w:rPr>
              <w:br/>
              <w:t>• Absence de textes clairs encadrant certaines exportations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</w:p>
          <w:p w:rsidR="00183084" w:rsidRPr="00151E43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</w:t>
            </w:r>
            <w:r w:rsidRPr="00151E43">
              <w:rPr>
                <w:rFonts w:asciiTheme="majorBidi" w:hAnsiTheme="majorBidi" w:cstheme="majorBidi"/>
              </w:rPr>
              <w:t>Limite en termes de coordination et d’encadrement des acteurs</w:t>
            </w:r>
            <w:r w:rsidR="0047080C">
              <w:rPr>
                <w:rFonts w:asciiTheme="majorBidi" w:hAnsiTheme="majorBidi" w:cstheme="majorBidi"/>
              </w:rPr>
              <w:t xml:space="preserve"> </w:t>
            </w:r>
          </w:p>
          <w:p w:rsidR="00183084" w:rsidRPr="00151E43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 Faible articulation entre MCI, CECOQDA, ATNOR, DPVC, Douanes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</w:p>
          <w:p w:rsidR="00183084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lastRenderedPageBreak/>
              <w:t>• Absence d’un cadre de concertation permanent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</w:p>
          <w:p w:rsidR="00EB4341" w:rsidRPr="0093600B" w:rsidRDefault="00EB4341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Absence d’un </w:t>
            </w:r>
            <w:r>
              <w:rPr>
                <w:rFonts w:asciiTheme="majorBidi" w:hAnsiTheme="majorBidi" w:cstheme="majorBidi"/>
              </w:rPr>
              <w:t>cadre réglementaire et juridique relatif aux exportations</w:t>
            </w:r>
          </w:p>
        </w:tc>
      </w:tr>
      <w:tr w:rsidR="00183084" w:rsidRPr="00151E43" w:rsidTr="007E64E2">
        <w:trPr>
          <w:trHeight w:val="853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lastRenderedPageBreak/>
              <w:t>Douanes (DGDI)</w:t>
            </w:r>
          </w:p>
        </w:tc>
        <w:tc>
          <w:tcPr>
            <w:tcW w:w="6995" w:type="dxa"/>
            <w:vAlign w:val="center"/>
            <w:hideMark/>
          </w:tcPr>
          <w:p w:rsidR="00183084" w:rsidRPr="0093600B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 xml:space="preserve">• Application de taxes jugées lourdes par les exportateurs (5 %) </w:t>
            </w:r>
          </w:p>
        </w:tc>
      </w:tr>
      <w:tr w:rsidR="00183084" w:rsidRPr="00151E43" w:rsidTr="007E64E2">
        <w:trPr>
          <w:trHeight w:val="121"/>
          <w:tblCellSpacing w:w="15" w:type="dxa"/>
        </w:trPr>
        <w:tc>
          <w:tcPr>
            <w:tcW w:w="2485" w:type="dxa"/>
            <w:vAlign w:val="center"/>
            <w:hideMark/>
          </w:tcPr>
          <w:p w:rsidR="00183084" w:rsidRPr="0093600B" w:rsidRDefault="00183084" w:rsidP="00981CB4">
            <w:pPr>
              <w:jc w:val="center"/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  <w:b/>
                <w:bCs/>
              </w:rPr>
              <w:t>Collectivités locales / autres administrations</w:t>
            </w:r>
            <w:r w:rsidRPr="00151E4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6995" w:type="dxa"/>
            <w:vAlign w:val="center"/>
            <w:hideMark/>
          </w:tcPr>
          <w:p w:rsidR="00183084" w:rsidRPr="0093600B" w:rsidRDefault="00183084" w:rsidP="0093600B">
            <w:pPr>
              <w:rPr>
                <w:rFonts w:asciiTheme="majorBidi" w:hAnsiTheme="majorBidi" w:cstheme="majorBidi"/>
              </w:rPr>
            </w:pPr>
            <w:r w:rsidRPr="0093600B">
              <w:rPr>
                <w:rFonts w:asciiTheme="majorBidi" w:hAnsiTheme="majorBidi" w:cstheme="majorBidi"/>
              </w:rPr>
              <w:t>• Existence de taxes illégales ou non harmonisées</w:t>
            </w:r>
            <w:r w:rsidR="00981CB4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151E43" w:rsidRPr="0024543E" w:rsidRDefault="00151E43" w:rsidP="0024543E">
      <w:pPr>
        <w:rPr>
          <w:rFonts w:asciiTheme="majorBidi" w:hAnsiTheme="majorBidi" w:cstheme="majorBidi"/>
          <w:b/>
          <w:bCs/>
        </w:rPr>
      </w:pPr>
    </w:p>
    <w:p w:rsidR="00151E43" w:rsidRPr="00151E43" w:rsidRDefault="00183084" w:rsidP="00151E4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151E43">
        <w:rPr>
          <w:rFonts w:asciiTheme="majorBidi" w:hAnsiTheme="majorBidi" w:cstheme="majorBidi"/>
          <w:b/>
          <w:bCs/>
        </w:rPr>
        <w:t>Impact sur les exportations</w:t>
      </w:r>
      <w:r w:rsidR="00D5180E">
        <w:rPr>
          <w:rFonts w:asciiTheme="majorBidi" w:hAnsiTheme="majorBidi" w:cstheme="majorBidi"/>
          <w:b/>
          <w:bCs/>
        </w:rPr>
        <w:t xml:space="preserve"> tchadiennes</w:t>
      </w:r>
      <w:r w:rsidR="0024543E">
        <w:rPr>
          <w:rFonts w:asciiTheme="majorBidi" w:hAnsiTheme="majorBidi" w:cstheme="majorBidi"/>
          <w:b/>
          <w:bCs/>
        </w:rPr>
        <w:t xml:space="preserve"> </w:t>
      </w:r>
    </w:p>
    <w:p w:rsidR="00682058" w:rsidRPr="00FD7A39" w:rsidRDefault="00151E43" w:rsidP="00151E43">
      <w:pPr>
        <w:pStyle w:val="NormalWeb"/>
        <w:jc w:val="both"/>
        <w:rPr>
          <w:rFonts w:asciiTheme="majorBidi" w:hAnsiTheme="majorBidi" w:cstheme="majorBidi"/>
        </w:rPr>
      </w:pPr>
      <w:r w:rsidRPr="00151E43">
        <w:rPr>
          <w:rFonts w:asciiTheme="majorBidi" w:hAnsiTheme="majorBidi" w:cstheme="majorBidi"/>
        </w:rPr>
        <w:t xml:space="preserve">Les </w:t>
      </w:r>
      <w:r w:rsidR="00C72205">
        <w:rPr>
          <w:rFonts w:asciiTheme="majorBidi" w:hAnsiTheme="majorBidi" w:cstheme="majorBidi"/>
        </w:rPr>
        <w:t>dysfonctionnements</w:t>
      </w:r>
      <w:r w:rsidRPr="00151E43">
        <w:rPr>
          <w:rFonts w:asciiTheme="majorBidi" w:hAnsiTheme="majorBidi" w:cstheme="majorBidi"/>
        </w:rPr>
        <w:t xml:space="preserve"> </w:t>
      </w:r>
      <w:r w:rsidR="00C72205">
        <w:rPr>
          <w:rFonts w:asciiTheme="majorBidi" w:hAnsiTheme="majorBidi" w:cstheme="majorBidi"/>
        </w:rPr>
        <w:t>observés</w:t>
      </w:r>
      <w:r w:rsidRPr="00151E43">
        <w:rPr>
          <w:rFonts w:asciiTheme="majorBidi" w:hAnsiTheme="majorBidi" w:cstheme="majorBidi"/>
        </w:rPr>
        <w:t xml:space="preserve"> </w:t>
      </w:r>
      <w:r w:rsidR="00C72205">
        <w:rPr>
          <w:rFonts w:asciiTheme="majorBidi" w:hAnsiTheme="majorBidi" w:cstheme="majorBidi"/>
        </w:rPr>
        <w:t>à chaque étape</w:t>
      </w:r>
      <w:r w:rsidRPr="00151E43">
        <w:rPr>
          <w:rFonts w:asciiTheme="majorBidi" w:hAnsiTheme="majorBidi" w:cstheme="majorBidi"/>
        </w:rPr>
        <w:t xml:space="preserve"> de la chaîne d’exportation ont des </w:t>
      </w:r>
      <w:r w:rsidRPr="00E55CFB">
        <w:rPr>
          <w:rStyle w:val="lev"/>
          <w:rFonts w:asciiTheme="majorBidi" w:hAnsiTheme="majorBidi" w:cstheme="majorBidi"/>
          <w:b w:val="0"/>
          <w:bCs w:val="0"/>
        </w:rPr>
        <w:t>impacts directs et significatifs sur les exportations tchadiennes</w:t>
      </w:r>
      <w:r w:rsidRPr="00FD7A39">
        <w:rPr>
          <w:rFonts w:asciiTheme="majorBidi" w:hAnsiTheme="majorBidi" w:cstheme="majorBidi"/>
        </w:rPr>
        <w:t xml:space="preserve">. </w:t>
      </w:r>
    </w:p>
    <w:p w:rsidR="00151E43" w:rsidRPr="0024543E" w:rsidRDefault="00151E43" w:rsidP="00151E43">
      <w:pPr>
        <w:pStyle w:val="NormalWeb"/>
        <w:jc w:val="both"/>
        <w:rPr>
          <w:rFonts w:asciiTheme="majorBidi" w:hAnsiTheme="majorBidi" w:cstheme="majorBidi"/>
          <w:b/>
          <w:bCs/>
        </w:rPr>
      </w:pPr>
      <w:r w:rsidRPr="00151E43">
        <w:rPr>
          <w:rFonts w:asciiTheme="majorBidi" w:hAnsiTheme="majorBidi" w:cstheme="majorBidi"/>
        </w:rPr>
        <w:t xml:space="preserve">Elles </w:t>
      </w:r>
      <w:r w:rsidRPr="0024543E">
        <w:rPr>
          <w:rFonts w:asciiTheme="majorBidi" w:hAnsiTheme="majorBidi" w:cstheme="majorBidi"/>
        </w:rPr>
        <w:t xml:space="preserve">se traduisent notamment par des </w:t>
      </w:r>
      <w:r w:rsidR="00C72205">
        <w:rPr>
          <w:rStyle w:val="lev"/>
          <w:rFonts w:asciiTheme="majorBidi" w:hAnsiTheme="majorBidi" w:cstheme="majorBidi"/>
          <w:b w:val="0"/>
          <w:bCs w:val="0"/>
        </w:rPr>
        <w:t>cas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 xml:space="preserve"> récurrents de non-conformité phytosanitaire</w:t>
      </w:r>
      <w:r w:rsidRPr="0024543E">
        <w:rPr>
          <w:rFonts w:asciiTheme="majorBidi" w:hAnsiTheme="majorBidi" w:cstheme="majorBidi"/>
        </w:rPr>
        <w:t>, la</w:t>
      </w:r>
      <w:r w:rsidRPr="0024543E">
        <w:rPr>
          <w:rFonts w:asciiTheme="majorBidi" w:hAnsiTheme="majorBidi" w:cstheme="majorBidi"/>
          <w:b/>
          <w:bCs/>
        </w:rPr>
        <w:t xml:space="preserve"> 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>destruction ou le rejet de lots</w:t>
      </w:r>
      <w:r w:rsidRPr="0024543E">
        <w:rPr>
          <w:rFonts w:asciiTheme="majorBidi" w:hAnsiTheme="majorBidi" w:cstheme="majorBidi"/>
          <w:b/>
          <w:bCs/>
        </w:rPr>
        <w:t xml:space="preserve"> </w:t>
      </w:r>
      <w:r w:rsidRPr="0024543E">
        <w:rPr>
          <w:rFonts w:asciiTheme="majorBidi" w:hAnsiTheme="majorBidi" w:cstheme="majorBidi"/>
        </w:rPr>
        <w:t>à destination, ainsi qu’un</w:t>
      </w:r>
      <w:r w:rsidRPr="0024543E">
        <w:rPr>
          <w:rFonts w:asciiTheme="majorBidi" w:hAnsiTheme="majorBidi" w:cstheme="majorBidi"/>
          <w:b/>
          <w:bCs/>
        </w:rPr>
        <w:t xml:space="preserve"> 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>risque réel de suspension des exportations</w:t>
      </w:r>
      <w:r w:rsidRPr="0024543E">
        <w:rPr>
          <w:rFonts w:asciiTheme="majorBidi" w:hAnsiTheme="majorBidi" w:cstheme="majorBidi"/>
        </w:rPr>
        <w:t>, en particulier vers des marchés comme la Chine</w:t>
      </w:r>
      <w:r w:rsidR="00C72205">
        <w:rPr>
          <w:rFonts w:asciiTheme="majorBidi" w:hAnsiTheme="majorBidi" w:cstheme="majorBidi"/>
        </w:rPr>
        <w:t xml:space="preserve"> ou </w:t>
      </w:r>
      <w:r w:rsidRPr="0024543E">
        <w:rPr>
          <w:rFonts w:asciiTheme="majorBidi" w:hAnsiTheme="majorBidi" w:cstheme="majorBidi"/>
        </w:rPr>
        <w:t>l’Europ</w:t>
      </w:r>
      <w:r w:rsidR="00002EBE">
        <w:rPr>
          <w:rFonts w:asciiTheme="majorBidi" w:hAnsiTheme="majorBidi" w:cstheme="majorBidi"/>
        </w:rPr>
        <w:t>e</w:t>
      </w:r>
      <w:r w:rsidRPr="0024543E">
        <w:rPr>
          <w:rFonts w:asciiTheme="majorBidi" w:hAnsiTheme="majorBidi" w:cstheme="majorBidi"/>
        </w:rPr>
        <w:t>.</w:t>
      </w:r>
      <w:r w:rsidR="00210B03">
        <w:rPr>
          <w:rFonts w:asciiTheme="majorBidi" w:hAnsiTheme="majorBidi" w:cstheme="majorBidi"/>
        </w:rPr>
        <w:t xml:space="preserve"> </w:t>
      </w:r>
    </w:p>
    <w:p w:rsidR="00E55CFB" w:rsidRPr="0024543E" w:rsidRDefault="00151E43" w:rsidP="00151E43">
      <w:pPr>
        <w:pStyle w:val="NormalWeb"/>
        <w:jc w:val="both"/>
        <w:rPr>
          <w:rFonts w:asciiTheme="majorBidi" w:hAnsiTheme="majorBidi" w:cstheme="majorBidi"/>
          <w:b/>
          <w:bCs/>
        </w:rPr>
      </w:pPr>
      <w:r w:rsidRPr="0024543E">
        <w:rPr>
          <w:rFonts w:asciiTheme="majorBidi" w:hAnsiTheme="majorBidi" w:cstheme="majorBidi"/>
        </w:rPr>
        <w:t xml:space="preserve">Ces dysfonctionnements affectent la 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>crédibilité du Tchad auprès de ses partenaires commerciaux</w:t>
      </w:r>
      <w:r w:rsidRPr="0024543E">
        <w:rPr>
          <w:rFonts w:asciiTheme="majorBidi" w:hAnsiTheme="majorBidi" w:cstheme="majorBidi"/>
        </w:rPr>
        <w:t xml:space="preserve">, réduisent la 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>compétitivité</w:t>
      </w:r>
      <w:r w:rsidR="00D5180E" w:rsidRPr="0024543E">
        <w:rPr>
          <w:rStyle w:val="lev"/>
          <w:rFonts w:asciiTheme="majorBidi" w:hAnsiTheme="majorBidi" w:cstheme="majorBidi"/>
          <w:b w:val="0"/>
          <w:bCs w:val="0"/>
        </w:rPr>
        <w:t xml:space="preserve"> et la valorisation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 xml:space="preserve"> des produits tchadiens</w:t>
      </w:r>
      <w:r w:rsidRPr="0024543E">
        <w:rPr>
          <w:rFonts w:asciiTheme="majorBidi" w:hAnsiTheme="majorBidi" w:cstheme="majorBidi"/>
        </w:rPr>
        <w:t xml:space="preserve"> face aux pays concurrents mieux </w:t>
      </w:r>
      <w:r w:rsidR="00C72205">
        <w:rPr>
          <w:rFonts w:asciiTheme="majorBidi" w:hAnsiTheme="majorBidi" w:cstheme="majorBidi"/>
        </w:rPr>
        <w:t>organisés</w:t>
      </w:r>
      <w:r w:rsidRPr="0024543E">
        <w:rPr>
          <w:rFonts w:asciiTheme="majorBidi" w:hAnsiTheme="majorBidi" w:cstheme="majorBidi"/>
        </w:rPr>
        <w:t xml:space="preserve"> et entraînent des </w:t>
      </w:r>
      <w:r w:rsidRPr="0024543E">
        <w:rPr>
          <w:rStyle w:val="lev"/>
          <w:rFonts w:asciiTheme="majorBidi" w:hAnsiTheme="majorBidi" w:cstheme="majorBidi"/>
          <w:b w:val="0"/>
          <w:bCs w:val="0"/>
        </w:rPr>
        <w:t>pertes financières importantes pour les opérateurs économiques</w:t>
      </w:r>
      <w:r w:rsidRPr="007F1C44">
        <w:rPr>
          <w:rFonts w:asciiTheme="majorBidi" w:hAnsiTheme="majorBidi" w:cstheme="majorBidi"/>
        </w:rPr>
        <w:t>.</w:t>
      </w:r>
      <w:r w:rsidRPr="0024543E">
        <w:rPr>
          <w:rFonts w:asciiTheme="majorBidi" w:hAnsiTheme="majorBidi" w:cstheme="majorBidi"/>
          <w:b/>
          <w:bCs/>
        </w:rPr>
        <w:t xml:space="preserve"> </w:t>
      </w:r>
    </w:p>
    <w:p w:rsidR="0093600B" w:rsidRPr="00151E43" w:rsidRDefault="00151E43" w:rsidP="00151E43">
      <w:pPr>
        <w:pStyle w:val="NormalWeb"/>
        <w:jc w:val="both"/>
        <w:rPr>
          <w:rFonts w:asciiTheme="majorBidi" w:hAnsiTheme="majorBidi" w:cstheme="majorBidi"/>
        </w:rPr>
      </w:pPr>
      <w:r w:rsidRPr="00151E43">
        <w:rPr>
          <w:rFonts w:asciiTheme="majorBidi" w:hAnsiTheme="majorBidi" w:cstheme="majorBidi"/>
        </w:rPr>
        <w:t xml:space="preserve">À terme, l’absence de mesures correctives pourrait compromettre </w:t>
      </w:r>
      <w:r w:rsidR="00682058">
        <w:rPr>
          <w:rFonts w:asciiTheme="majorBidi" w:hAnsiTheme="majorBidi" w:cstheme="majorBidi"/>
        </w:rPr>
        <w:t xml:space="preserve">et </w:t>
      </w:r>
      <w:r w:rsidRPr="00151E43">
        <w:rPr>
          <w:rFonts w:asciiTheme="majorBidi" w:hAnsiTheme="majorBidi" w:cstheme="majorBidi"/>
        </w:rPr>
        <w:t>dévaloriser toute la chaîne de valeur des produits agricoles tchadiens</w:t>
      </w:r>
      <w:r w:rsidR="001309C6">
        <w:rPr>
          <w:rFonts w:asciiTheme="majorBidi" w:hAnsiTheme="majorBidi" w:cstheme="majorBidi"/>
        </w:rPr>
        <w:t xml:space="preserve">, avoir un </w:t>
      </w:r>
      <w:r w:rsidR="001309C6" w:rsidRPr="001309C6">
        <w:rPr>
          <w:rFonts w:asciiTheme="majorBidi" w:hAnsiTheme="majorBidi" w:cstheme="majorBidi"/>
        </w:rPr>
        <w:t>effet dissuasif sur les investisseurs et acheteurs internationaux,</w:t>
      </w:r>
      <w:r w:rsidRPr="00151E43">
        <w:rPr>
          <w:rFonts w:asciiTheme="majorBidi" w:hAnsiTheme="majorBidi" w:cstheme="majorBidi"/>
        </w:rPr>
        <w:t xml:space="preserve"> et freiner le développement des filières d’exportation</w:t>
      </w:r>
      <w:r w:rsidR="00682058">
        <w:rPr>
          <w:rFonts w:asciiTheme="majorBidi" w:hAnsiTheme="majorBidi" w:cstheme="majorBidi"/>
        </w:rPr>
        <w:t>, et donc notre politique de diversification économique</w:t>
      </w:r>
      <w:r w:rsidRPr="00151E43">
        <w:rPr>
          <w:rFonts w:asciiTheme="majorBidi" w:hAnsiTheme="majorBidi" w:cstheme="majorBidi"/>
        </w:rPr>
        <w:t>.</w:t>
      </w:r>
      <w:r w:rsidR="0024543E">
        <w:rPr>
          <w:rFonts w:asciiTheme="majorBidi" w:hAnsiTheme="majorBidi" w:cstheme="majorBidi"/>
        </w:rPr>
        <w:t xml:space="preserve"> </w:t>
      </w:r>
    </w:p>
    <w:p w:rsidR="0093600B" w:rsidRPr="00696E08" w:rsidRDefault="0093600B" w:rsidP="00151E4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151E43">
        <w:rPr>
          <w:rFonts w:asciiTheme="majorBidi" w:hAnsiTheme="majorBidi" w:cstheme="majorBidi"/>
          <w:b/>
          <w:bCs/>
        </w:rPr>
        <w:t>Recommandation</w:t>
      </w:r>
      <w:r w:rsidR="00696E08">
        <w:rPr>
          <w:rFonts w:asciiTheme="majorBidi" w:hAnsiTheme="majorBidi" w:cstheme="majorBidi"/>
          <w:b/>
          <w:bCs/>
        </w:rPr>
        <w:t>s</w:t>
      </w:r>
      <w:r w:rsidRPr="00151E43">
        <w:rPr>
          <w:rFonts w:asciiTheme="majorBidi" w:hAnsiTheme="majorBidi" w:cstheme="majorBidi"/>
          <w:b/>
          <w:bCs/>
        </w:rPr>
        <w:t xml:space="preserve"> </w:t>
      </w:r>
    </w:p>
    <w:p w:rsidR="00696E08" w:rsidRDefault="00696E08" w:rsidP="00696E08">
      <w:pPr>
        <w:jc w:val="both"/>
        <w:rPr>
          <w:rFonts w:asciiTheme="majorBidi" w:hAnsiTheme="majorBidi" w:cstheme="majorBidi"/>
        </w:rPr>
      </w:pPr>
    </w:p>
    <w:p w:rsidR="00696E08" w:rsidRDefault="00696E08" w:rsidP="00696E08">
      <w:pPr>
        <w:jc w:val="both"/>
        <w:rPr>
          <w:rFonts w:asciiTheme="majorBidi" w:hAnsiTheme="majorBidi" w:cstheme="majorBidi"/>
        </w:rPr>
      </w:pPr>
      <w:r w:rsidRPr="00696E08">
        <w:rPr>
          <w:rFonts w:asciiTheme="majorBidi" w:hAnsiTheme="majorBidi" w:cstheme="majorBidi"/>
          <w:b/>
          <w:bCs/>
        </w:rPr>
        <w:t xml:space="preserve">Recommandation </w:t>
      </w:r>
      <w:r w:rsidR="00703B87">
        <w:rPr>
          <w:rFonts w:asciiTheme="majorBidi" w:hAnsiTheme="majorBidi" w:cstheme="majorBidi"/>
          <w:b/>
          <w:bCs/>
        </w:rPr>
        <w:t>générale</w:t>
      </w:r>
      <w:r w:rsidRPr="00696E08">
        <w:rPr>
          <w:rFonts w:asciiTheme="majorBidi" w:hAnsiTheme="majorBidi" w:cstheme="majorBidi"/>
          <w:b/>
          <w:bCs/>
        </w:rPr>
        <w:t> :</w:t>
      </w:r>
      <w:r w:rsidRPr="00696E08">
        <w:rPr>
          <w:rFonts w:asciiTheme="majorBidi" w:hAnsiTheme="majorBidi" w:cstheme="majorBidi"/>
        </w:rPr>
        <w:t xml:space="preserve"> </w:t>
      </w:r>
      <w:r w:rsidR="005B799F">
        <w:rPr>
          <w:rFonts w:asciiTheme="majorBidi" w:hAnsiTheme="majorBidi" w:cstheme="majorBidi"/>
        </w:rPr>
        <w:t xml:space="preserve">Le Ministère du Commerce et de l’Industrie, garant de la politique commercial extérieur, doit </w:t>
      </w:r>
      <w:r w:rsidRPr="00696E08">
        <w:rPr>
          <w:rFonts w:asciiTheme="majorBidi" w:hAnsiTheme="majorBidi" w:cstheme="majorBidi"/>
        </w:rPr>
        <w:t>renforcer l’</w:t>
      </w:r>
      <w:r w:rsidRPr="00696E08">
        <w:rPr>
          <w:rFonts w:asciiTheme="majorBidi" w:hAnsiTheme="majorBidi" w:cstheme="majorBidi"/>
          <w:b/>
          <w:bCs/>
        </w:rPr>
        <w:t>encadrement, la coordination et la structuration</w:t>
      </w:r>
      <w:r w:rsidRPr="00696E08">
        <w:rPr>
          <w:rFonts w:asciiTheme="majorBidi" w:hAnsiTheme="majorBidi" w:cstheme="majorBidi"/>
        </w:rPr>
        <w:t xml:space="preserve"> de la chaîne d’exportation, </w:t>
      </w:r>
      <w:r w:rsidR="004D1485">
        <w:rPr>
          <w:rFonts w:asciiTheme="majorBidi" w:hAnsiTheme="majorBidi" w:cstheme="majorBidi"/>
        </w:rPr>
        <w:t xml:space="preserve">à chaque étape, </w:t>
      </w:r>
      <w:r w:rsidRPr="00696E08">
        <w:rPr>
          <w:rFonts w:asciiTheme="majorBidi" w:hAnsiTheme="majorBidi" w:cstheme="majorBidi"/>
        </w:rPr>
        <w:t>de la production jusqu’à l’exportation</w:t>
      </w:r>
      <w:r>
        <w:rPr>
          <w:rFonts w:asciiTheme="majorBidi" w:hAnsiTheme="majorBidi" w:cstheme="majorBidi"/>
        </w:rPr>
        <w:t>.</w:t>
      </w:r>
    </w:p>
    <w:p w:rsidR="00E55CFB" w:rsidRDefault="00E55CFB" w:rsidP="00696E08">
      <w:pPr>
        <w:jc w:val="both"/>
        <w:rPr>
          <w:rFonts w:asciiTheme="majorBidi" w:hAnsiTheme="majorBidi" w:cstheme="majorBidi"/>
        </w:rPr>
      </w:pPr>
    </w:p>
    <w:p w:rsidR="00703B87" w:rsidRDefault="00682058" w:rsidP="00703B8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C72205">
        <w:rPr>
          <w:rFonts w:asciiTheme="majorBidi" w:hAnsiTheme="majorBidi" w:cstheme="majorBidi"/>
          <w:b/>
          <w:bCs/>
        </w:rPr>
        <w:t>Premièrement,</w:t>
      </w:r>
      <w:r>
        <w:rPr>
          <w:rFonts w:asciiTheme="majorBidi" w:hAnsiTheme="majorBidi" w:cstheme="majorBidi"/>
        </w:rPr>
        <w:t xml:space="preserve"> c</w:t>
      </w:r>
      <w:r w:rsidR="00696E08" w:rsidRPr="00703B87">
        <w:rPr>
          <w:rFonts w:asciiTheme="majorBidi" w:hAnsiTheme="majorBidi" w:cstheme="majorBidi"/>
        </w:rPr>
        <w:t>ela commence par une rigueur au sein des ser</w:t>
      </w:r>
      <w:r w:rsidR="00775A51" w:rsidRPr="00703B87">
        <w:rPr>
          <w:rFonts w:asciiTheme="majorBidi" w:hAnsiTheme="majorBidi" w:cstheme="majorBidi"/>
        </w:rPr>
        <w:t>vices liés aux exportations du</w:t>
      </w:r>
      <w:r w:rsidR="00696E08" w:rsidRPr="00703B87">
        <w:rPr>
          <w:rFonts w:asciiTheme="majorBidi" w:hAnsiTheme="majorBidi" w:cstheme="majorBidi"/>
        </w:rPr>
        <w:t xml:space="preserve"> Ministère </w:t>
      </w:r>
      <w:r w:rsidR="00775A51" w:rsidRPr="00703B87">
        <w:rPr>
          <w:rFonts w:asciiTheme="majorBidi" w:hAnsiTheme="majorBidi" w:cstheme="majorBidi"/>
        </w:rPr>
        <w:t xml:space="preserve">du Commerce et de l’Industrie, et plus précisément </w:t>
      </w:r>
      <w:r w:rsidR="005E4876">
        <w:rPr>
          <w:rFonts w:asciiTheme="majorBidi" w:hAnsiTheme="majorBidi" w:cstheme="majorBidi"/>
        </w:rPr>
        <w:t>notre mécanisme permettant l’octroi des</w:t>
      </w:r>
      <w:r w:rsidR="00775A51" w:rsidRPr="00703B87">
        <w:rPr>
          <w:rFonts w:asciiTheme="majorBidi" w:hAnsiTheme="majorBidi" w:cstheme="majorBidi"/>
        </w:rPr>
        <w:t xml:space="preserve"> autorisations d’exportations</w:t>
      </w:r>
      <w:r w:rsidR="00703B87">
        <w:rPr>
          <w:rFonts w:asciiTheme="majorBidi" w:hAnsiTheme="majorBidi" w:cstheme="majorBidi"/>
        </w:rPr>
        <w:t> ;</w:t>
      </w:r>
    </w:p>
    <w:p w:rsidR="00703B87" w:rsidRPr="00703B87" w:rsidRDefault="00682058" w:rsidP="00703B8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C72205">
        <w:rPr>
          <w:b/>
          <w:bCs/>
        </w:rPr>
        <w:t>Deuxièmement,</w:t>
      </w:r>
      <w:r w:rsidR="00703B87" w:rsidRPr="00703B87">
        <w:t xml:space="preserve"> </w:t>
      </w:r>
      <w:r>
        <w:t>il</w:t>
      </w:r>
      <w:r w:rsidR="005E4876">
        <w:t xml:space="preserve"> est</w:t>
      </w:r>
      <w:r w:rsidRPr="00682058">
        <w:t xml:space="preserve"> néces</w:t>
      </w:r>
      <w:r>
        <w:t>saire</w:t>
      </w:r>
      <w:r w:rsidRPr="00682058">
        <w:t xml:space="preserve"> de </w:t>
      </w:r>
      <w:r w:rsidR="00C77265">
        <w:t xml:space="preserve">mettre en place un mécanisme permettant au Ministère en charge du Commerce de </w:t>
      </w:r>
      <w:r w:rsidRPr="00682058">
        <w:t>renforcer la coordination et la structuration de l’ensemble de la chaîne d’exportation, impliquant tous les acteurs concerné</w:t>
      </w:r>
      <w:r>
        <w:t>s ;</w:t>
      </w:r>
      <w:r w:rsidR="00210B03">
        <w:t xml:space="preserve"> </w:t>
      </w:r>
    </w:p>
    <w:p w:rsidR="00703B87" w:rsidRPr="00703B87" w:rsidRDefault="00223FF2" w:rsidP="00703B87">
      <w:pPr>
        <w:pStyle w:val="Paragraphedeliste"/>
        <w:numPr>
          <w:ilvl w:val="0"/>
          <w:numId w:val="11"/>
        </w:numPr>
        <w:jc w:val="both"/>
        <w:rPr>
          <w:rStyle w:val="lev"/>
          <w:rFonts w:asciiTheme="majorBidi" w:hAnsiTheme="majorBidi" w:cstheme="majorBidi"/>
          <w:b w:val="0"/>
          <w:bCs w:val="0"/>
        </w:rPr>
      </w:pPr>
      <w:r w:rsidRPr="00C72205">
        <w:rPr>
          <w:rStyle w:val="lev"/>
        </w:rPr>
        <w:t>Troisièmement</w:t>
      </w:r>
      <w:r w:rsidR="00703B87" w:rsidRPr="00C72205">
        <w:rPr>
          <w:rStyle w:val="lev"/>
        </w:rPr>
        <w:t>,</w:t>
      </w:r>
      <w:r w:rsidR="00703B87" w:rsidRPr="00703B87">
        <w:rPr>
          <w:rStyle w:val="lev"/>
          <w:b w:val="0"/>
          <w:bCs w:val="0"/>
        </w:rPr>
        <w:t xml:space="preserve"> </w:t>
      </w:r>
      <w:r>
        <w:rPr>
          <w:rStyle w:val="lev"/>
          <w:b w:val="0"/>
          <w:bCs w:val="0"/>
        </w:rPr>
        <w:t xml:space="preserve">une réflexion devra être effectuée pour établir </w:t>
      </w:r>
      <w:r w:rsidR="004D1485">
        <w:rPr>
          <w:rStyle w:val="lev"/>
          <w:b w:val="0"/>
          <w:bCs w:val="0"/>
        </w:rPr>
        <w:t>le</w:t>
      </w:r>
      <w:r w:rsidR="00703B87" w:rsidRPr="00703B87">
        <w:rPr>
          <w:rStyle w:val="lev"/>
          <w:b w:val="0"/>
          <w:bCs w:val="0"/>
        </w:rPr>
        <w:t xml:space="preserve"> cadre réglementaire et juridique des exportations</w:t>
      </w:r>
      <w:r>
        <w:rPr>
          <w:rStyle w:val="lev"/>
          <w:b w:val="0"/>
          <w:bCs w:val="0"/>
        </w:rPr>
        <w:t xml:space="preserve"> </w:t>
      </w:r>
      <w:r w:rsidR="004D1485">
        <w:rPr>
          <w:rStyle w:val="lev"/>
          <w:b w:val="0"/>
          <w:bCs w:val="0"/>
        </w:rPr>
        <w:t>afin de renforcer le secteur</w:t>
      </w:r>
      <w:r w:rsidR="00C23D91">
        <w:rPr>
          <w:rStyle w:val="lev"/>
          <w:b w:val="0"/>
          <w:bCs w:val="0"/>
        </w:rPr>
        <w:t>,</w:t>
      </w:r>
      <w:r w:rsidR="004D1485">
        <w:rPr>
          <w:rStyle w:val="lev"/>
          <w:b w:val="0"/>
          <w:bCs w:val="0"/>
        </w:rPr>
        <w:t xml:space="preserve"> faciliter les</w:t>
      </w:r>
      <w:r>
        <w:rPr>
          <w:rStyle w:val="lev"/>
          <w:b w:val="0"/>
          <w:bCs w:val="0"/>
        </w:rPr>
        <w:t xml:space="preserve"> affaires </w:t>
      </w:r>
      <w:r w:rsidR="00C23D91">
        <w:rPr>
          <w:rStyle w:val="lev"/>
          <w:b w:val="0"/>
          <w:bCs w:val="0"/>
        </w:rPr>
        <w:t xml:space="preserve">et promouvoir la transformation des produits </w:t>
      </w:r>
      <w:r w:rsidR="00703B87">
        <w:rPr>
          <w:rStyle w:val="lev"/>
          <w:b w:val="0"/>
          <w:bCs w:val="0"/>
        </w:rPr>
        <w:t>;</w:t>
      </w:r>
      <w:r w:rsidR="00210B03">
        <w:rPr>
          <w:rStyle w:val="lev"/>
          <w:b w:val="0"/>
          <w:bCs w:val="0"/>
        </w:rPr>
        <w:t xml:space="preserve"> </w:t>
      </w:r>
    </w:p>
    <w:p w:rsidR="00682058" w:rsidRPr="005B2B05" w:rsidRDefault="002605C0" w:rsidP="001663EF">
      <w:pPr>
        <w:pStyle w:val="Paragraphedeliste"/>
        <w:numPr>
          <w:ilvl w:val="0"/>
          <w:numId w:val="11"/>
        </w:numPr>
        <w:jc w:val="both"/>
        <w:rPr>
          <w:rStyle w:val="lev"/>
          <w:rFonts w:asciiTheme="majorBidi" w:hAnsiTheme="majorBidi" w:cstheme="majorBidi"/>
          <w:b w:val="0"/>
          <w:bCs w:val="0"/>
        </w:rPr>
      </w:pPr>
      <w:r w:rsidRPr="00C72205">
        <w:rPr>
          <w:rStyle w:val="lev"/>
        </w:rPr>
        <w:t>P</w:t>
      </w:r>
      <w:r w:rsidR="00703B87" w:rsidRPr="00C72205">
        <w:rPr>
          <w:rStyle w:val="lev"/>
        </w:rPr>
        <w:t>our terminer,</w:t>
      </w:r>
      <w:r w:rsidR="00703B87" w:rsidRPr="00703B87">
        <w:rPr>
          <w:rStyle w:val="lev"/>
          <w:b w:val="0"/>
          <w:bCs w:val="0"/>
        </w:rPr>
        <w:t xml:space="preserve"> il sera impératif d’assurer </w:t>
      </w:r>
      <w:r w:rsidR="00682058">
        <w:rPr>
          <w:rStyle w:val="lev"/>
          <w:b w:val="0"/>
          <w:bCs w:val="0"/>
        </w:rPr>
        <w:t>le s</w:t>
      </w:r>
      <w:r w:rsidR="00703B87" w:rsidRPr="00703B87">
        <w:rPr>
          <w:rStyle w:val="lev"/>
          <w:b w:val="0"/>
          <w:bCs w:val="0"/>
        </w:rPr>
        <w:t xml:space="preserve">uivi et </w:t>
      </w:r>
      <w:r w:rsidR="00682058">
        <w:rPr>
          <w:rStyle w:val="lev"/>
          <w:b w:val="0"/>
          <w:bCs w:val="0"/>
        </w:rPr>
        <w:t>l’</w:t>
      </w:r>
      <w:r w:rsidR="00703B87" w:rsidRPr="00703B87">
        <w:rPr>
          <w:rStyle w:val="lev"/>
          <w:b w:val="0"/>
          <w:bCs w:val="0"/>
        </w:rPr>
        <w:t xml:space="preserve">évaluation </w:t>
      </w:r>
      <w:r w:rsidR="004D1485">
        <w:rPr>
          <w:rStyle w:val="lev"/>
          <w:b w:val="0"/>
          <w:bCs w:val="0"/>
        </w:rPr>
        <w:t xml:space="preserve">continue des différents mécanismes </w:t>
      </w:r>
      <w:r w:rsidR="00703B87" w:rsidRPr="00703B87">
        <w:rPr>
          <w:rStyle w:val="lev"/>
          <w:b w:val="0"/>
          <w:bCs w:val="0"/>
        </w:rPr>
        <w:t>pour amélior</w:t>
      </w:r>
      <w:r w:rsidR="004D1485">
        <w:rPr>
          <w:rStyle w:val="lev"/>
          <w:b w:val="0"/>
          <w:bCs w:val="0"/>
        </w:rPr>
        <w:t>er</w:t>
      </w:r>
      <w:r>
        <w:rPr>
          <w:rStyle w:val="lev"/>
          <w:b w:val="0"/>
          <w:bCs w:val="0"/>
        </w:rPr>
        <w:t xml:space="preserve"> </w:t>
      </w:r>
      <w:r w:rsidR="00703B87" w:rsidRPr="00703B87">
        <w:rPr>
          <w:rStyle w:val="lev"/>
          <w:b w:val="0"/>
          <w:bCs w:val="0"/>
        </w:rPr>
        <w:t>continue</w:t>
      </w:r>
      <w:r>
        <w:rPr>
          <w:rStyle w:val="lev"/>
          <w:b w:val="0"/>
          <w:bCs w:val="0"/>
        </w:rPr>
        <w:t>llement</w:t>
      </w:r>
      <w:r w:rsidR="00703B87" w:rsidRPr="00703B87">
        <w:rPr>
          <w:rStyle w:val="lev"/>
          <w:b w:val="0"/>
          <w:bCs w:val="0"/>
        </w:rPr>
        <w:t xml:space="preserve"> le dispositif.</w:t>
      </w:r>
      <w:r w:rsidR="00210B03">
        <w:rPr>
          <w:rStyle w:val="lev"/>
          <w:b w:val="0"/>
          <w:bCs w:val="0"/>
        </w:rPr>
        <w:t xml:space="preserve"> </w:t>
      </w:r>
    </w:p>
    <w:p w:rsidR="005B2B05" w:rsidRPr="005B2B05" w:rsidRDefault="005B2B05" w:rsidP="005B2B05">
      <w:pPr>
        <w:jc w:val="both"/>
        <w:rPr>
          <w:rFonts w:asciiTheme="majorBidi" w:hAnsiTheme="majorBidi" w:cstheme="majorBidi"/>
        </w:rPr>
      </w:pPr>
    </w:p>
    <w:p w:rsidR="00775A51" w:rsidRPr="00E55CFB" w:rsidRDefault="00E55CFB" w:rsidP="009F335A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</w:t>
      </w:r>
      <w:r w:rsidRPr="00E55CFB">
        <w:rPr>
          <w:rFonts w:asciiTheme="majorBidi" w:hAnsiTheme="majorBidi" w:cstheme="majorBidi"/>
          <w:b/>
          <w:bCs/>
        </w:rPr>
        <w:t xml:space="preserve">lan d’actions : une (01) année </w:t>
      </w:r>
      <w:r w:rsidR="009F335A">
        <w:rPr>
          <w:rFonts w:asciiTheme="majorBidi" w:hAnsiTheme="majorBidi" w:cstheme="majorBidi"/>
          <w:b/>
          <w:bCs/>
        </w:rPr>
        <w:t>et quatre (04) étapes</w:t>
      </w:r>
      <w:r w:rsidR="009F335A" w:rsidRPr="00E55CFB">
        <w:rPr>
          <w:rFonts w:asciiTheme="majorBidi" w:hAnsiTheme="majorBidi" w:cstheme="majorBidi"/>
          <w:b/>
          <w:bCs/>
        </w:rPr>
        <w:t xml:space="preserve"> </w:t>
      </w:r>
      <w:r w:rsidRPr="00E55CFB">
        <w:rPr>
          <w:rFonts w:asciiTheme="majorBidi" w:hAnsiTheme="majorBidi" w:cstheme="majorBidi"/>
          <w:b/>
          <w:bCs/>
        </w:rPr>
        <w:t>pour structurer et coordonner les exportations</w:t>
      </w:r>
      <w:r w:rsidR="00FC1EB7">
        <w:rPr>
          <w:rFonts w:asciiTheme="majorBidi" w:hAnsiTheme="majorBidi" w:cstheme="majorBidi"/>
          <w:b/>
          <w:bCs/>
        </w:rPr>
        <w:t xml:space="preserve"> </w:t>
      </w:r>
    </w:p>
    <w:p w:rsidR="00775A51" w:rsidRDefault="00775A51" w:rsidP="00696E08">
      <w:pPr>
        <w:jc w:val="both"/>
        <w:rPr>
          <w:rFonts w:asciiTheme="majorBidi" w:hAnsiTheme="majorBidi" w:cstheme="majorBidi"/>
          <w:b/>
          <w:bCs/>
        </w:rPr>
      </w:pPr>
    </w:p>
    <w:p w:rsidR="00775A51" w:rsidRPr="00210B03" w:rsidRDefault="00775A51" w:rsidP="00696E08">
      <w:pPr>
        <w:jc w:val="both"/>
        <w:rPr>
          <w:rFonts w:asciiTheme="majorBidi" w:hAnsiTheme="majorBidi" w:cstheme="majorBidi"/>
          <w:b/>
          <w:bCs/>
          <w:i/>
          <w:iCs/>
        </w:rPr>
      </w:pPr>
      <w:r w:rsidRPr="00143B99"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>Étape 1 </w:t>
      </w:r>
      <w:r w:rsidR="00455515" w:rsidRPr="00143B99">
        <w:rPr>
          <w:rFonts w:asciiTheme="majorBidi" w:hAnsiTheme="majorBidi" w:cstheme="majorBidi"/>
          <w:b/>
          <w:bCs/>
          <w:i/>
          <w:iCs/>
          <w:u w:val="single"/>
        </w:rPr>
        <w:t>(Février-Mars 2026)</w:t>
      </w:r>
      <w:r w:rsidR="00455515" w:rsidRPr="00143B99">
        <w:rPr>
          <w:rFonts w:asciiTheme="majorBidi" w:hAnsiTheme="majorBidi" w:cstheme="majorBidi"/>
          <w:b/>
          <w:bCs/>
          <w:u w:val="single"/>
        </w:rPr>
        <w:t xml:space="preserve"> </w:t>
      </w:r>
      <w:r w:rsidRPr="00143B99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143B99" w:rsidRPr="00143B99">
        <w:rPr>
          <w:rFonts w:asciiTheme="majorBidi" w:hAnsiTheme="majorBidi" w:cstheme="majorBidi"/>
          <w:b/>
          <w:bCs/>
          <w:i/>
          <w:iCs/>
        </w:rPr>
        <w:t>Réforme du mécanisme d’octroi des autorisations d’exportations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775A51" w:rsidRDefault="00775A51" w:rsidP="00775A51">
      <w:pPr>
        <w:pStyle w:val="NormalWeb"/>
        <w:numPr>
          <w:ilvl w:val="0"/>
          <w:numId w:val="5"/>
        </w:numPr>
        <w:jc w:val="both"/>
      </w:pPr>
      <w:r>
        <w:rPr>
          <w:rStyle w:val="lev"/>
        </w:rPr>
        <w:t xml:space="preserve">Mise en place d’un comité technique </w:t>
      </w:r>
      <w:r>
        <w:t>chargé de la révision, de la validation et de la mise à jour des listes des entreprises exportatrices</w:t>
      </w:r>
      <w:r w:rsidR="00143B99">
        <w:t>, filière par filière, destination par destination</w:t>
      </w:r>
      <w:r>
        <w:t>.</w:t>
      </w:r>
      <w:r w:rsidR="00CF616D">
        <w:t xml:space="preserve"> </w:t>
      </w:r>
    </w:p>
    <w:p w:rsidR="00775A51" w:rsidRDefault="00ED517E" w:rsidP="00775A51">
      <w:pPr>
        <w:pStyle w:val="NormalWeb"/>
        <w:numPr>
          <w:ilvl w:val="0"/>
          <w:numId w:val="5"/>
        </w:numPr>
        <w:jc w:val="both"/>
      </w:pPr>
      <w:r>
        <w:rPr>
          <w:rStyle w:val="lev"/>
        </w:rPr>
        <w:t>Commencer par mettre à jour</w:t>
      </w:r>
      <w:r w:rsidR="00775A51">
        <w:rPr>
          <w:rStyle w:val="lev"/>
        </w:rPr>
        <w:t xml:space="preserve"> les listes d’exportation</w:t>
      </w:r>
      <w:r>
        <w:rPr>
          <w:rStyle w:val="lev"/>
        </w:rPr>
        <w:t xml:space="preserve"> </w:t>
      </w:r>
      <w:r>
        <w:rPr>
          <w:rStyle w:val="lev"/>
          <w:b w:val="0"/>
          <w:bCs w:val="0"/>
        </w:rPr>
        <w:t>en les conditionnant</w:t>
      </w:r>
      <w:r w:rsidR="00775A51">
        <w:t xml:space="preserve"> à des critères clairement définis : conformité juridiqu</w:t>
      </w:r>
      <w:r w:rsidR="00143B99">
        <w:t>e</w:t>
      </w:r>
      <w:r w:rsidR="00775A51">
        <w:t>, existence d’infrastructures (entrepôts) de stockage appropriées, traçabilité des produits, respect des normes phytosanitaires et engagement formel de conformité.</w:t>
      </w:r>
      <w:r w:rsidR="000B664F">
        <w:t xml:space="preserve"> </w:t>
      </w:r>
    </w:p>
    <w:p w:rsidR="00775A51" w:rsidRDefault="00143B99" w:rsidP="003906BF">
      <w:pPr>
        <w:pStyle w:val="NormalWeb"/>
        <w:numPr>
          <w:ilvl w:val="0"/>
          <w:numId w:val="5"/>
        </w:numPr>
        <w:jc w:val="both"/>
        <w:rPr>
          <w:rStyle w:val="lev"/>
          <w:b w:val="0"/>
          <w:bCs w:val="0"/>
        </w:rPr>
      </w:pPr>
      <w:r>
        <w:rPr>
          <w:rStyle w:val="lev"/>
        </w:rPr>
        <w:t xml:space="preserve">Informer les parties prenantes </w:t>
      </w:r>
      <w:r>
        <w:rPr>
          <w:rStyle w:val="lev"/>
          <w:b w:val="0"/>
          <w:bCs w:val="0"/>
        </w:rPr>
        <w:t>des</w:t>
      </w:r>
      <w:r w:rsidRPr="00143B99">
        <w:rPr>
          <w:rStyle w:val="lev"/>
          <w:b w:val="0"/>
          <w:bCs w:val="0"/>
        </w:rPr>
        <w:t xml:space="preserve"> réforme</w:t>
      </w:r>
      <w:r>
        <w:rPr>
          <w:rStyle w:val="lev"/>
          <w:b w:val="0"/>
          <w:bCs w:val="0"/>
        </w:rPr>
        <w:t>s apportées au</w:t>
      </w:r>
      <w:r w:rsidR="003906BF" w:rsidRPr="00143B99">
        <w:rPr>
          <w:rStyle w:val="lev"/>
          <w:b w:val="0"/>
          <w:bCs w:val="0"/>
        </w:rPr>
        <w:t xml:space="preserve"> mécanisme </w:t>
      </w:r>
      <w:r w:rsidRPr="00143B99">
        <w:rPr>
          <w:rStyle w:val="lev"/>
          <w:b w:val="0"/>
          <w:bCs w:val="0"/>
        </w:rPr>
        <w:t>d’octroi des autorisations d’exportations</w:t>
      </w:r>
      <w:r>
        <w:rPr>
          <w:rStyle w:val="lev"/>
          <w:b w:val="0"/>
          <w:bCs w:val="0"/>
        </w:rPr>
        <w:t>.</w:t>
      </w:r>
      <w:r w:rsidR="000B664F">
        <w:rPr>
          <w:rStyle w:val="lev"/>
          <w:b w:val="0"/>
          <w:bCs w:val="0"/>
        </w:rPr>
        <w:t xml:space="preserve"> </w:t>
      </w:r>
    </w:p>
    <w:p w:rsidR="00775A51" w:rsidRDefault="00775A51" w:rsidP="00775A51">
      <w:pPr>
        <w:pStyle w:val="NormalWeb"/>
        <w:numPr>
          <w:ilvl w:val="0"/>
          <w:numId w:val="5"/>
        </w:numPr>
        <w:jc w:val="both"/>
      </w:pPr>
      <w:r>
        <w:rPr>
          <w:rStyle w:val="lev"/>
        </w:rPr>
        <w:t xml:space="preserve">Procéder à une mise à jour périodique </w:t>
      </w:r>
      <w:r>
        <w:t>des listes d’exportateurs (annuelle ou semestrielle), avec un contrôle systématique entre les autorisations délivrées et les fichiers officiels validés par le comité.</w:t>
      </w:r>
      <w:r w:rsidR="000B664F">
        <w:t xml:space="preserve"> </w:t>
      </w:r>
    </w:p>
    <w:p w:rsidR="00775A51" w:rsidRDefault="00775A51" w:rsidP="00775A51">
      <w:pPr>
        <w:pStyle w:val="NormalWeb"/>
        <w:numPr>
          <w:ilvl w:val="0"/>
          <w:numId w:val="5"/>
        </w:numPr>
        <w:jc w:val="both"/>
      </w:pPr>
      <w:r>
        <w:rPr>
          <w:rStyle w:val="lev"/>
        </w:rPr>
        <w:t>Prévoir des mesures de suspension ou de retrait</w:t>
      </w:r>
      <w:r>
        <w:t xml:space="preserve"> pour toute entreprise impliquée dans des cas avérés de non-conformité, jusqu’à la correction effective des insuffisances constatées.</w:t>
      </w:r>
      <w:r w:rsidR="000B664F">
        <w:t xml:space="preserve"> </w:t>
      </w:r>
    </w:p>
    <w:p w:rsidR="00455515" w:rsidRPr="00455515" w:rsidRDefault="00455515" w:rsidP="00DC4F61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DC4F61">
        <w:rPr>
          <w:b/>
          <w:bCs/>
          <w:i/>
          <w:iCs/>
          <w:u w:val="single"/>
        </w:rPr>
        <w:t>Étape 2 (</w:t>
      </w:r>
      <w:r w:rsidR="00002E50" w:rsidRPr="00DC4F61">
        <w:rPr>
          <w:b/>
          <w:bCs/>
          <w:i/>
          <w:iCs/>
          <w:u w:val="single"/>
        </w:rPr>
        <w:t>Avril-</w:t>
      </w:r>
      <w:r w:rsidRPr="00DC4F61">
        <w:rPr>
          <w:b/>
          <w:bCs/>
          <w:i/>
          <w:iCs/>
          <w:u w:val="single"/>
        </w:rPr>
        <w:t>Mai 2026) :</w:t>
      </w:r>
      <w:r w:rsidRPr="00DC4F61">
        <w:rPr>
          <w:b/>
          <w:bCs/>
          <w:i/>
          <w:iCs/>
        </w:rPr>
        <w:t xml:space="preserve"> Renforcement de la coordination et de la structuration de la chaîne d’exportation</w:t>
      </w:r>
    </w:p>
    <w:p w:rsidR="00455515" w:rsidRPr="00455515" w:rsidRDefault="00455515" w:rsidP="00455515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455515">
        <w:t xml:space="preserve">Mettre en place un </w:t>
      </w:r>
      <w:r w:rsidRPr="00455515">
        <w:rPr>
          <w:b/>
          <w:bCs/>
        </w:rPr>
        <w:t xml:space="preserve">cadre permanent de concertation </w:t>
      </w:r>
      <w:r w:rsidR="00D743A5">
        <w:rPr>
          <w:b/>
          <w:bCs/>
        </w:rPr>
        <w:t xml:space="preserve">ou comité technique chargé </w:t>
      </w:r>
      <w:r w:rsidR="00DC4F61">
        <w:rPr>
          <w:b/>
          <w:bCs/>
        </w:rPr>
        <w:t xml:space="preserve">des </w:t>
      </w:r>
      <w:r w:rsidR="00D743A5">
        <w:rPr>
          <w:b/>
          <w:bCs/>
        </w:rPr>
        <w:t>« </w:t>
      </w:r>
      <w:r w:rsidR="00D743A5">
        <w:rPr>
          <w:i/>
          <w:iCs/>
        </w:rPr>
        <w:t>Réformes</w:t>
      </w:r>
      <w:r w:rsidR="00D743A5" w:rsidRPr="00E55CFB">
        <w:rPr>
          <w:i/>
          <w:iCs/>
        </w:rPr>
        <w:t xml:space="preserve"> pour renforcer e</w:t>
      </w:r>
      <w:r w:rsidR="00D743A5">
        <w:rPr>
          <w:i/>
          <w:iCs/>
        </w:rPr>
        <w:t>t</w:t>
      </w:r>
      <w:r w:rsidR="00D743A5" w:rsidRPr="00E55CFB">
        <w:rPr>
          <w:i/>
          <w:iCs/>
        </w:rPr>
        <w:t xml:space="preserve"> faciliter la chaîne d’exportation des produits agricoles tchadiens</w:t>
      </w:r>
      <w:r w:rsidR="00D743A5">
        <w:rPr>
          <w:i/>
          <w:iCs/>
        </w:rPr>
        <w:t> »</w:t>
      </w:r>
      <w:r w:rsidRPr="00455515">
        <w:t xml:space="preserve"> associant le MCI, le CECOQDA, l’ATNOR, </w:t>
      </w:r>
      <w:r w:rsidR="0039578A">
        <w:t xml:space="preserve">l’ANIE, </w:t>
      </w:r>
      <w:r w:rsidRPr="00455515">
        <w:t>la</w:t>
      </w:r>
      <w:r>
        <w:t xml:space="preserve"> MPIA</w:t>
      </w:r>
      <w:r w:rsidRPr="00455515">
        <w:t xml:space="preserve"> </w:t>
      </w:r>
      <w:r>
        <w:t>(</w:t>
      </w:r>
      <w:r w:rsidRPr="00455515">
        <w:t>DPVC</w:t>
      </w:r>
      <w:r>
        <w:t>)</w:t>
      </w:r>
      <w:r w:rsidRPr="00455515">
        <w:t>, la DGD</w:t>
      </w:r>
      <w:r w:rsidR="00B814E4">
        <w:t>D</w:t>
      </w:r>
      <w:r w:rsidRPr="00455515">
        <w:t>I</w:t>
      </w:r>
      <w:r w:rsidR="00B814E4">
        <w:t xml:space="preserve">, </w:t>
      </w:r>
      <w:r w:rsidR="00F409CF">
        <w:t xml:space="preserve">la Police Sanitaire, </w:t>
      </w:r>
      <w:r w:rsidR="00B814E4">
        <w:t>la CCIAMA</w:t>
      </w:r>
      <w:r w:rsidRPr="00455515">
        <w:t xml:space="preserve"> et les organisations professionnelles</w:t>
      </w:r>
      <w:r w:rsidR="00B814E4">
        <w:t xml:space="preserve"> lié</w:t>
      </w:r>
      <w:r w:rsidR="00DC4F61">
        <w:t>e</w:t>
      </w:r>
      <w:r w:rsidR="00B814E4">
        <w:t>s aux exportateurs (CNPT, syndicats etc.)</w:t>
      </w:r>
      <w:r w:rsidR="00241FC9">
        <w:t> ;</w:t>
      </w:r>
    </w:p>
    <w:p w:rsidR="00455515" w:rsidRPr="00455515" w:rsidRDefault="00455515" w:rsidP="00455515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455515">
        <w:t xml:space="preserve">Clarifier et formaliser les </w:t>
      </w:r>
      <w:r w:rsidRPr="00455515">
        <w:rPr>
          <w:b/>
          <w:bCs/>
        </w:rPr>
        <w:t>rôles, responsabilités, procédures et délais</w:t>
      </w:r>
      <w:r w:rsidRPr="00455515">
        <w:t xml:space="preserve"> de chaque acteur intervenant dans le processus d’exportation</w:t>
      </w:r>
      <w:r w:rsidR="00241FC9">
        <w:t> ;</w:t>
      </w:r>
    </w:p>
    <w:p w:rsidR="00455515" w:rsidRPr="00455515" w:rsidRDefault="00455515" w:rsidP="00455515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DC4F61">
        <w:rPr>
          <w:b/>
          <w:bCs/>
        </w:rPr>
        <w:t>Renforcer les contrôles en amont</w:t>
      </w:r>
      <w:r w:rsidRPr="00455515">
        <w:t>, notamment au niveau des entrepôts, des sites de conditionnement et des certificats phytosanitaires</w:t>
      </w:r>
      <w:r w:rsidR="00241FC9">
        <w:t> ;</w:t>
      </w:r>
    </w:p>
    <w:p w:rsidR="00455515" w:rsidRPr="00455515" w:rsidRDefault="00455515" w:rsidP="00455515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9D7809">
        <w:rPr>
          <w:b/>
          <w:bCs/>
        </w:rPr>
        <w:t xml:space="preserve">Appuyer la structuration des filières agricoles </w:t>
      </w:r>
      <w:r w:rsidRPr="00455515">
        <w:t>à la base, en lien avec les départements sectoriels compétents, afin d’améliorer durablement la qualité des produits destinés à l’exportation</w:t>
      </w:r>
      <w:r w:rsidR="00241FC9">
        <w:t> ;</w:t>
      </w:r>
    </w:p>
    <w:p w:rsidR="00455515" w:rsidRPr="00455515" w:rsidRDefault="00455515" w:rsidP="00455515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9D7809">
        <w:rPr>
          <w:b/>
          <w:bCs/>
        </w:rPr>
        <w:t>Développer des actions de formation et de sensibilisation</w:t>
      </w:r>
      <w:r w:rsidRPr="00455515">
        <w:t xml:space="preserve"> au profit des exportateurs et des acteurs de la chaîne sur les exigences des marchés internationaux.</w:t>
      </w:r>
    </w:p>
    <w:p w:rsidR="00431099" w:rsidRPr="00431099" w:rsidRDefault="00431099" w:rsidP="00431099">
      <w:pPr>
        <w:pStyle w:val="Titre2"/>
        <w:jc w:val="both"/>
        <w:rPr>
          <w:sz w:val="24"/>
          <w:szCs w:val="24"/>
        </w:rPr>
      </w:pPr>
      <w:r w:rsidRPr="009D7809">
        <w:rPr>
          <w:rStyle w:val="lev"/>
          <w:b/>
          <w:bCs/>
          <w:i/>
          <w:iCs/>
          <w:sz w:val="24"/>
          <w:szCs w:val="24"/>
          <w:u w:val="single"/>
        </w:rPr>
        <w:t>Étape 3</w:t>
      </w:r>
      <w:r w:rsidR="00DC749C" w:rsidRPr="009D7809">
        <w:rPr>
          <w:rStyle w:val="lev"/>
          <w:b/>
          <w:bCs/>
          <w:i/>
          <w:iCs/>
          <w:sz w:val="24"/>
          <w:szCs w:val="24"/>
          <w:u w:val="single"/>
        </w:rPr>
        <w:t xml:space="preserve"> (</w:t>
      </w:r>
      <w:r w:rsidR="00002E50" w:rsidRPr="009D7809">
        <w:rPr>
          <w:rStyle w:val="lev"/>
          <w:b/>
          <w:bCs/>
          <w:i/>
          <w:iCs/>
          <w:sz w:val="24"/>
          <w:szCs w:val="24"/>
          <w:u w:val="single"/>
        </w:rPr>
        <w:t>Juin</w:t>
      </w:r>
      <w:r w:rsidR="00DC749C" w:rsidRPr="009D7809">
        <w:rPr>
          <w:rStyle w:val="lev"/>
          <w:b/>
          <w:bCs/>
          <w:i/>
          <w:iCs/>
          <w:sz w:val="24"/>
          <w:szCs w:val="24"/>
          <w:u w:val="single"/>
        </w:rPr>
        <w:t xml:space="preserve"> à Décembre 2026)</w:t>
      </w:r>
      <w:r w:rsidRPr="009D7809">
        <w:rPr>
          <w:rStyle w:val="lev"/>
          <w:b/>
          <w:bCs/>
          <w:i/>
          <w:iCs/>
          <w:sz w:val="24"/>
          <w:szCs w:val="24"/>
          <w:u w:val="single"/>
        </w:rPr>
        <w:t xml:space="preserve"> :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 </w:t>
      </w:r>
      <w:r w:rsidR="007A2C7E">
        <w:rPr>
          <w:rStyle w:val="lev"/>
          <w:b/>
          <w:bCs/>
          <w:i/>
          <w:iCs/>
          <w:sz w:val="24"/>
          <w:szCs w:val="24"/>
        </w:rPr>
        <w:t>Élaborer le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 cadre réglementaire et juridique</w:t>
      </w:r>
      <w:r w:rsidR="007A2C7E">
        <w:rPr>
          <w:rStyle w:val="lev"/>
          <w:b/>
          <w:bCs/>
          <w:i/>
          <w:iCs/>
          <w:sz w:val="24"/>
          <w:szCs w:val="24"/>
        </w:rPr>
        <w:t xml:space="preserve"> relatif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 </w:t>
      </w:r>
      <w:r w:rsidR="007A2C7E">
        <w:rPr>
          <w:rStyle w:val="lev"/>
          <w:b/>
          <w:bCs/>
          <w:i/>
          <w:iCs/>
          <w:sz w:val="24"/>
          <w:szCs w:val="24"/>
        </w:rPr>
        <w:t>aux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 exportations</w:t>
      </w:r>
    </w:p>
    <w:p w:rsidR="00431099" w:rsidRPr="00431099" w:rsidRDefault="00431099" w:rsidP="00431099">
      <w:pPr>
        <w:pStyle w:val="NormalWeb"/>
        <w:numPr>
          <w:ilvl w:val="0"/>
          <w:numId w:val="8"/>
        </w:numPr>
        <w:jc w:val="both"/>
      </w:pPr>
      <w:r w:rsidRPr="009847C7">
        <w:rPr>
          <w:b/>
          <w:bCs/>
        </w:rPr>
        <w:t xml:space="preserve">Élaborer </w:t>
      </w:r>
      <w:r w:rsidR="007A2C7E" w:rsidRPr="009847C7">
        <w:rPr>
          <w:b/>
          <w:bCs/>
        </w:rPr>
        <w:t xml:space="preserve">le cadre </w:t>
      </w:r>
      <w:r w:rsidR="00446400" w:rsidRPr="009847C7">
        <w:rPr>
          <w:b/>
          <w:bCs/>
        </w:rPr>
        <w:t>règlementaire</w:t>
      </w:r>
      <w:r w:rsidR="00446400">
        <w:t xml:space="preserve"> relatif aux</w:t>
      </w:r>
      <w:r w:rsidRPr="00431099">
        <w:t xml:space="preserve"> exportations de produits agricoles sensibles (sésame, arachide, gomme arabique, etc.), précisant :</w:t>
      </w:r>
    </w:p>
    <w:p w:rsidR="009847C7" w:rsidRDefault="009847C7" w:rsidP="00431099">
      <w:pPr>
        <w:pStyle w:val="NormalWeb"/>
        <w:numPr>
          <w:ilvl w:val="1"/>
          <w:numId w:val="8"/>
        </w:numPr>
        <w:jc w:val="both"/>
      </w:pPr>
      <w:proofErr w:type="gramStart"/>
      <w:r>
        <w:t>les</w:t>
      </w:r>
      <w:proofErr w:type="gramEnd"/>
      <w:r>
        <w:t xml:space="preserve"> </w:t>
      </w:r>
      <w:r w:rsidRPr="009847C7">
        <w:t>rôles, responsabilités, procédures et délais de chaque acteur intervenant dans le processus d’exportation</w:t>
      </w:r>
      <w:r>
        <w:t>,</w:t>
      </w:r>
    </w:p>
    <w:p w:rsidR="00431099" w:rsidRPr="00431099" w:rsidRDefault="00431099" w:rsidP="00431099">
      <w:pPr>
        <w:pStyle w:val="NormalWeb"/>
        <w:numPr>
          <w:ilvl w:val="1"/>
          <w:numId w:val="8"/>
        </w:numPr>
        <w:jc w:val="both"/>
      </w:pPr>
      <w:proofErr w:type="gramStart"/>
      <w:r w:rsidRPr="00431099">
        <w:t>les</w:t>
      </w:r>
      <w:proofErr w:type="gramEnd"/>
      <w:r w:rsidRPr="00431099">
        <w:t xml:space="preserve"> obligations en matière de qualité, de traçabilité et de stockage,</w:t>
      </w:r>
    </w:p>
    <w:p w:rsidR="00431099" w:rsidRDefault="00431099" w:rsidP="00431099">
      <w:pPr>
        <w:pStyle w:val="NormalWeb"/>
        <w:numPr>
          <w:ilvl w:val="1"/>
          <w:numId w:val="8"/>
        </w:numPr>
        <w:jc w:val="both"/>
      </w:pPr>
      <w:proofErr w:type="gramStart"/>
      <w:r w:rsidRPr="00431099">
        <w:t>les</w:t>
      </w:r>
      <w:proofErr w:type="gramEnd"/>
      <w:r w:rsidRPr="00431099">
        <w:t xml:space="preserve"> sanctions applicables en cas de non-conformité.</w:t>
      </w:r>
    </w:p>
    <w:p w:rsidR="00FA2C14" w:rsidRPr="00431099" w:rsidRDefault="00FA2C14" w:rsidP="00431099">
      <w:pPr>
        <w:pStyle w:val="NormalWeb"/>
        <w:numPr>
          <w:ilvl w:val="1"/>
          <w:numId w:val="8"/>
        </w:numPr>
        <w:jc w:val="both"/>
      </w:pPr>
      <w:r>
        <w:t>Un dispositif incitant la transformation des produits</w:t>
      </w:r>
      <w:r w:rsidR="00685D45">
        <w:t xml:space="preserve"> avant exportation</w:t>
      </w:r>
      <w:r>
        <w:t>.</w:t>
      </w:r>
    </w:p>
    <w:p w:rsidR="00431099" w:rsidRPr="00431099" w:rsidRDefault="003C6933" w:rsidP="00431099">
      <w:pPr>
        <w:pStyle w:val="NormalWeb"/>
        <w:numPr>
          <w:ilvl w:val="0"/>
          <w:numId w:val="8"/>
        </w:numPr>
        <w:jc w:val="both"/>
      </w:pPr>
      <w:r w:rsidRPr="003C6933">
        <w:rPr>
          <w:b/>
          <w:bCs/>
        </w:rPr>
        <w:t>Assurer</w:t>
      </w:r>
      <w:r w:rsidR="00431099" w:rsidRPr="003C6933">
        <w:rPr>
          <w:b/>
          <w:bCs/>
        </w:rPr>
        <w:t xml:space="preserve"> </w:t>
      </w:r>
      <w:r w:rsidRPr="003C6933">
        <w:rPr>
          <w:b/>
          <w:bCs/>
        </w:rPr>
        <w:t>l’</w:t>
      </w:r>
      <w:r w:rsidR="00431099" w:rsidRPr="003C6933">
        <w:rPr>
          <w:b/>
          <w:bCs/>
        </w:rPr>
        <w:t xml:space="preserve">harmonisation </w:t>
      </w:r>
      <w:r w:rsidRPr="003C6933">
        <w:rPr>
          <w:b/>
          <w:bCs/>
        </w:rPr>
        <w:t xml:space="preserve">des textes </w:t>
      </w:r>
      <w:r w:rsidR="00431099" w:rsidRPr="00431099">
        <w:t>avec les exigences phytosanitaires internationales.</w:t>
      </w:r>
    </w:p>
    <w:p w:rsidR="00D47084" w:rsidRDefault="00D47084" w:rsidP="00431099">
      <w:pPr>
        <w:pStyle w:val="NormalWeb"/>
        <w:numPr>
          <w:ilvl w:val="0"/>
          <w:numId w:val="8"/>
        </w:numPr>
        <w:jc w:val="both"/>
      </w:pPr>
      <w:r w:rsidRPr="004A592F">
        <w:rPr>
          <w:b/>
          <w:bCs/>
        </w:rPr>
        <w:t xml:space="preserve">Sensibiliser </w:t>
      </w:r>
      <w:r>
        <w:t>l’ensemble des acteurs sur les nouvelles règlementations.</w:t>
      </w:r>
    </w:p>
    <w:p w:rsidR="00A53125" w:rsidRPr="00431099" w:rsidRDefault="00A53125" w:rsidP="00A53125">
      <w:pPr>
        <w:pStyle w:val="NormalWeb"/>
        <w:jc w:val="both"/>
      </w:pPr>
      <w:r>
        <w:lastRenderedPageBreak/>
        <w:t xml:space="preserve">L’élaboration du cadre réglementaire pourrait se faire </w:t>
      </w:r>
      <w:r>
        <w:rPr>
          <w:rStyle w:val="lev"/>
        </w:rPr>
        <w:t>progressivement</w:t>
      </w:r>
      <w:r>
        <w:t>, en commençant par les produits les plus sensibles (sésame, arachide).</w:t>
      </w:r>
    </w:p>
    <w:p w:rsidR="00431099" w:rsidRPr="009D7809" w:rsidRDefault="00431099" w:rsidP="00431099">
      <w:pPr>
        <w:pStyle w:val="Titre2"/>
        <w:jc w:val="both"/>
        <w:rPr>
          <w:i/>
          <w:iCs/>
          <w:sz w:val="24"/>
          <w:szCs w:val="24"/>
        </w:rPr>
      </w:pPr>
      <w:r w:rsidRPr="002E3272">
        <w:rPr>
          <w:rStyle w:val="lev"/>
          <w:b/>
          <w:bCs/>
          <w:i/>
          <w:iCs/>
          <w:sz w:val="24"/>
          <w:szCs w:val="24"/>
          <w:u w:val="single"/>
        </w:rPr>
        <w:t>Étape 4 :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 </w:t>
      </w:r>
      <w:r w:rsidR="009D7809">
        <w:rPr>
          <w:rStyle w:val="lev"/>
          <w:b/>
          <w:bCs/>
          <w:i/>
          <w:iCs/>
          <w:sz w:val="24"/>
          <w:szCs w:val="24"/>
        </w:rPr>
        <w:t>Assurer le s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uivi, </w:t>
      </w:r>
      <w:r w:rsidR="009D7809">
        <w:rPr>
          <w:rStyle w:val="lev"/>
          <w:b/>
          <w:bCs/>
          <w:i/>
          <w:iCs/>
          <w:sz w:val="24"/>
          <w:szCs w:val="24"/>
        </w:rPr>
        <w:t>l’</w:t>
      </w:r>
      <w:r w:rsidRPr="009D7809">
        <w:rPr>
          <w:rStyle w:val="lev"/>
          <w:b/>
          <w:bCs/>
          <w:i/>
          <w:iCs/>
          <w:sz w:val="24"/>
          <w:szCs w:val="24"/>
        </w:rPr>
        <w:t xml:space="preserve">évaluation et </w:t>
      </w:r>
      <w:r w:rsidR="009D7809">
        <w:rPr>
          <w:rStyle w:val="lev"/>
          <w:b/>
          <w:bCs/>
          <w:i/>
          <w:iCs/>
          <w:sz w:val="24"/>
          <w:szCs w:val="24"/>
        </w:rPr>
        <w:t>l’</w:t>
      </w:r>
      <w:r w:rsidRPr="009D7809">
        <w:rPr>
          <w:rStyle w:val="lev"/>
          <w:b/>
          <w:bCs/>
          <w:i/>
          <w:iCs/>
          <w:sz w:val="24"/>
          <w:szCs w:val="24"/>
        </w:rPr>
        <w:t>amélioration continue du dispositif</w:t>
      </w:r>
    </w:p>
    <w:p w:rsidR="00431099" w:rsidRPr="00431099" w:rsidRDefault="00431099" w:rsidP="00431099">
      <w:pPr>
        <w:pStyle w:val="NormalWeb"/>
        <w:numPr>
          <w:ilvl w:val="0"/>
          <w:numId w:val="9"/>
        </w:numPr>
        <w:jc w:val="both"/>
      </w:pPr>
      <w:r w:rsidRPr="00431099">
        <w:t xml:space="preserve">Mettre en place un </w:t>
      </w:r>
      <w:r w:rsidRPr="00431099">
        <w:rPr>
          <w:rStyle w:val="lev"/>
        </w:rPr>
        <w:t>mécanisme de suivi et d’évaluation</w:t>
      </w:r>
      <w:r w:rsidRPr="00431099">
        <w:t xml:space="preserve"> des exportations agricoles, fondé sur des indicateurs clairs (nombre de lots exportés, non-conformités, rejets, sanctions, etc.).</w:t>
      </w:r>
    </w:p>
    <w:p w:rsidR="00431099" w:rsidRPr="00431099" w:rsidRDefault="00431099" w:rsidP="00431099">
      <w:pPr>
        <w:pStyle w:val="NormalWeb"/>
        <w:numPr>
          <w:ilvl w:val="0"/>
          <w:numId w:val="9"/>
        </w:numPr>
        <w:jc w:val="both"/>
      </w:pPr>
      <w:r w:rsidRPr="00431099">
        <w:t xml:space="preserve">Assurer un </w:t>
      </w:r>
      <w:proofErr w:type="spellStart"/>
      <w:r w:rsidRPr="00431099">
        <w:rPr>
          <w:rStyle w:val="lev"/>
        </w:rPr>
        <w:t>reporting</w:t>
      </w:r>
      <w:proofErr w:type="spellEnd"/>
      <w:r w:rsidRPr="00431099">
        <w:rPr>
          <w:rStyle w:val="lev"/>
        </w:rPr>
        <w:t xml:space="preserve"> périodique</w:t>
      </w:r>
      <w:r w:rsidRPr="00431099">
        <w:t xml:space="preserve"> (trimestriel ou semestriel) au niveau </w:t>
      </w:r>
      <w:r w:rsidR="00E55CFB">
        <w:t>de la Direction Générale du Commerce</w:t>
      </w:r>
      <w:r w:rsidRPr="00431099">
        <w:t xml:space="preserve"> sur l’état des exportations et les incidents phytosanitaires.</w:t>
      </w:r>
    </w:p>
    <w:p w:rsidR="00431099" w:rsidRPr="00431099" w:rsidRDefault="00431099" w:rsidP="00431099">
      <w:pPr>
        <w:pStyle w:val="NormalWeb"/>
        <w:numPr>
          <w:ilvl w:val="0"/>
          <w:numId w:val="9"/>
        </w:numPr>
        <w:jc w:val="both"/>
      </w:pPr>
      <w:r w:rsidRPr="00431099">
        <w:t>Actualiser régulièrement les listes d’exportateurs, les procédures et les exigences, en fonction de l’évolution des marchés et des normes internationales.</w:t>
      </w:r>
    </w:p>
    <w:p w:rsidR="00431099" w:rsidRPr="00431099" w:rsidRDefault="00431099" w:rsidP="00431099">
      <w:pPr>
        <w:pStyle w:val="NormalWeb"/>
        <w:numPr>
          <w:ilvl w:val="0"/>
          <w:numId w:val="9"/>
        </w:numPr>
        <w:jc w:val="both"/>
      </w:pPr>
      <w:r w:rsidRPr="00431099">
        <w:t xml:space="preserve">Instituer des </w:t>
      </w:r>
      <w:r w:rsidRPr="00431099">
        <w:rPr>
          <w:rStyle w:val="lev"/>
        </w:rPr>
        <w:t>revues périodiques avec les exportateurs</w:t>
      </w:r>
      <w:r w:rsidRPr="00431099">
        <w:t>, afin d’anticiper les risques et d’améliorer en continu la qualité des produits destinés à l’exportation.</w:t>
      </w:r>
    </w:p>
    <w:p w:rsidR="00431099" w:rsidRPr="00431099" w:rsidRDefault="00431099" w:rsidP="00431099">
      <w:pPr>
        <w:pStyle w:val="Titre2"/>
        <w:jc w:val="both"/>
        <w:rPr>
          <w:sz w:val="24"/>
          <w:szCs w:val="24"/>
        </w:rPr>
      </w:pPr>
      <w:r w:rsidRPr="00431099">
        <w:rPr>
          <w:rStyle w:val="lev"/>
          <w:b/>
          <w:bCs/>
          <w:sz w:val="24"/>
          <w:szCs w:val="24"/>
        </w:rPr>
        <w:t>Conclusion</w:t>
      </w:r>
    </w:p>
    <w:p w:rsidR="00431099" w:rsidRPr="00431099" w:rsidRDefault="00431099" w:rsidP="00431099">
      <w:pPr>
        <w:pStyle w:val="NormalWeb"/>
        <w:jc w:val="both"/>
      </w:pPr>
      <w:r w:rsidRPr="00431099">
        <w:t>Le</w:t>
      </w:r>
      <w:r w:rsidR="0077543D">
        <w:t>s</w:t>
      </w:r>
      <w:r w:rsidRPr="00431099">
        <w:t xml:space="preserve"> difficultés rencontrées dans les exportations agricoles tchadiennes ne relèvent pas de cas isolés, mais résultent de </w:t>
      </w:r>
      <w:r w:rsidRPr="00431099">
        <w:rPr>
          <w:rStyle w:val="lev"/>
        </w:rPr>
        <w:t>dysfonctionnements affectant l’ensemble de la chaîne d’exportation</w:t>
      </w:r>
      <w:r w:rsidRPr="00431099">
        <w:t>, depuis la production jusqu’</w:t>
      </w:r>
      <w:r w:rsidR="00DC0307">
        <w:t>à l’exportation</w:t>
      </w:r>
      <w:r w:rsidRPr="00431099">
        <w:t>.</w:t>
      </w:r>
    </w:p>
    <w:p w:rsidR="00DC0307" w:rsidRDefault="00431099" w:rsidP="00431099">
      <w:pPr>
        <w:pStyle w:val="NormalWeb"/>
        <w:jc w:val="both"/>
      </w:pPr>
      <w:r w:rsidRPr="00431099">
        <w:t xml:space="preserve">Face aux risques croissants de rejet de lots, de perte de marchés et de dégradation de la crédibilité du Tchad auprès de ses partenaires commerciaux, il apparaît indispensable d’engager une </w:t>
      </w:r>
      <w:r w:rsidRPr="00431099">
        <w:rPr>
          <w:rStyle w:val="lev"/>
        </w:rPr>
        <w:t xml:space="preserve">réforme progressive </w:t>
      </w:r>
      <w:r w:rsidRPr="00431099">
        <w:t xml:space="preserve">du dispositif d’encadrement des exportations agricoles. </w:t>
      </w:r>
    </w:p>
    <w:p w:rsidR="00696E08" w:rsidRDefault="00431099" w:rsidP="00DC749C">
      <w:pPr>
        <w:pStyle w:val="NormalWeb"/>
        <w:jc w:val="both"/>
      </w:pPr>
      <w:r w:rsidRPr="00431099">
        <w:t xml:space="preserve">La mise en œuvre du présent plan d’actions, appliqué </w:t>
      </w:r>
      <w:r w:rsidRPr="00431099">
        <w:rPr>
          <w:rStyle w:val="lev"/>
        </w:rPr>
        <w:t>filière par filière et destination par destination</w:t>
      </w:r>
      <w:r w:rsidRPr="00431099">
        <w:t xml:space="preserve">, permettra de </w:t>
      </w:r>
      <w:r w:rsidR="00881568">
        <w:t xml:space="preserve">faciliter </w:t>
      </w:r>
      <w:r w:rsidR="0004198A">
        <w:t>et d’accroître les exportations</w:t>
      </w:r>
      <w:r w:rsidR="00881568">
        <w:t xml:space="preserve"> des produits agricoles</w:t>
      </w:r>
      <w:r w:rsidR="0004198A">
        <w:t xml:space="preserve"> et de répondre aux objectifs de diversification de l’économie dans ce contexte de Zone de Libre-Échange Continental Africaine (ZLECAf) et de mise en œuvre de </w:t>
      </w:r>
      <w:r w:rsidR="0004198A" w:rsidRPr="0004198A">
        <w:rPr>
          <w:i/>
          <w:iCs/>
        </w:rPr>
        <w:t>Tchad Connexion 2030</w:t>
      </w:r>
      <w:r w:rsidRPr="00431099">
        <w:t>.</w:t>
      </w:r>
    </w:p>
    <w:p w:rsidR="00E71AB5" w:rsidRDefault="007B74A1" w:rsidP="007B74A1">
      <w:pPr>
        <w:pStyle w:val="NormalWeb"/>
        <w:jc w:val="both"/>
      </w:pPr>
      <w:r>
        <w:t>Somme toute</w:t>
      </w:r>
      <w:r w:rsidR="00E71AB5">
        <w:t xml:space="preserve">, ladite réforme ne </w:t>
      </w:r>
      <w:r>
        <w:t>saurait</w:t>
      </w:r>
      <w:r w:rsidR="00E71AB5">
        <w:t xml:space="preserve"> p</w:t>
      </w:r>
      <w:r>
        <w:t>roduire</w:t>
      </w:r>
      <w:r w:rsidR="00E71AB5">
        <w:t xml:space="preserve"> totalement</w:t>
      </w:r>
      <w:r>
        <w:t xml:space="preserve"> ses </w:t>
      </w:r>
      <w:r w:rsidR="00D9335E">
        <w:t>effets</w:t>
      </w:r>
      <w:r w:rsidR="00E71AB5">
        <w:t xml:space="preserve"> sans que les autres filières d’exportations</w:t>
      </w:r>
      <w:r>
        <w:t>, notamment</w:t>
      </w:r>
      <w:r w:rsidR="00E71AB5">
        <w:t xml:space="preserve"> l’élevage</w:t>
      </w:r>
      <w:r>
        <w:t xml:space="preserve">, les mines </w:t>
      </w:r>
      <w:r w:rsidR="00E71AB5">
        <w:t>et</w:t>
      </w:r>
      <w:r>
        <w:t xml:space="preserve"> les autres secteurs concernés</w:t>
      </w:r>
      <w:r w:rsidR="00E71AB5">
        <w:t xml:space="preserve"> soient</w:t>
      </w:r>
      <w:r>
        <w:t xml:space="preserve"> concomitamment</w:t>
      </w:r>
      <w:r w:rsidR="00E71AB5">
        <w:t xml:space="preserve"> réform</w:t>
      </w:r>
      <w:r>
        <w:t>és</w:t>
      </w:r>
      <w:r w:rsidR="00E71AB5">
        <w:t xml:space="preserve">. </w:t>
      </w:r>
    </w:p>
    <w:p w:rsidR="00954F2B" w:rsidRPr="004E68F5" w:rsidRDefault="00954F2B" w:rsidP="00954F2B">
      <w:pPr>
        <w:ind w:left="4320"/>
        <w:jc w:val="center"/>
        <w:rPr>
          <w:rFonts w:asciiTheme="majorBidi" w:hAnsiTheme="majorBidi" w:cstheme="majorBidi"/>
          <w:b/>
        </w:rPr>
      </w:pPr>
      <w:r w:rsidRPr="004E68F5">
        <w:rPr>
          <w:rFonts w:asciiTheme="majorBidi" w:hAnsiTheme="majorBidi" w:cstheme="majorBidi"/>
          <w:b/>
        </w:rPr>
        <w:t xml:space="preserve">Le </w:t>
      </w:r>
      <w:r w:rsidR="00D43E5C">
        <w:rPr>
          <w:rFonts w:asciiTheme="majorBidi" w:hAnsiTheme="majorBidi" w:cstheme="majorBidi"/>
          <w:b/>
        </w:rPr>
        <w:t>Secrétaire Général</w:t>
      </w:r>
      <w:r w:rsidR="0047080C">
        <w:rPr>
          <w:rFonts w:asciiTheme="majorBidi" w:hAnsiTheme="majorBidi" w:cstheme="majorBidi"/>
          <w:b/>
        </w:rPr>
        <w:t xml:space="preserve"> </w:t>
      </w:r>
    </w:p>
    <w:p w:rsidR="00954F2B" w:rsidRPr="004E68F5" w:rsidRDefault="00954F2B" w:rsidP="00954F2B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center"/>
        <w:rPr>
          <w:rFonts w:asciiTheme="majorBidi" w:hAnsiTheme="majorBidi" w:cstheme="majorBidi"/>
        </w:rPr>
      </w:pPr>
    </w:p>
    <w:p w:rsidR="00954F2B" w:rsidRPr="004E68F5" w:rsidRDefault="00954F2B" w:rsidP="00954F2B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/>
        <w:jc w:val="center"/>
        <w:rPr>
          <w:rFonts w:asciiTheme="majorBidi" w:hAnsiTheme="majorBidi" w:cstheme="majorBidi"/>
        </w:rPr>
      </w:pPr>
      <w:r w:rsidRPr="004E68F5">
        <w:rPr>
          <w:rFonts w:asciiTheme="majorBidi" w:hAnsiTheme="majorBidi" w:cstheme="majorBidi"/>
        </w:rPr>
        <w:br/>
      </w:r>
      <w:r w:rsidR="00554E59">
        <w:rPr>
          <w:rFonts w:asciiTheme="majorBidi" w:hAnsiTheme="majorBidi" w:cstheme="majorBidi"/>
        </w:rPr>
        <w:br/>
      </w:r>
    </w:p>
    <w:p w:rsidR="00954F2B" w:rsidRPr="004E68F5" w:rsidRDefault="00D43E5C" w:rsidP="00954F2B">
      <w:pPr>
        <w:ind w:left="4320"/>
        <w:jc w:val="center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u w:val="single"/>
        </w:rPr>
        <w:t>MBAIKOMBÉ GUETIMBAYE Abel</w:t>
      </w:r>
      <w:r w:rsidR="0047080C">
        <w:rPr>
          <w:rFonts w:asciiTheme="majorBidi" w:hAnsiTheme="majorBidi" w:cstheme="majorBidi"/>
          <w:b/>
          <w:u w:val="single"/>
        </w:rPr>
        <w:t xml:space="preserve"> </w:t>
      </w:r>
    </w:p>
    <w:p w:rsidR="00F41BFB" w:rsidRPr="00D546FA" w:rsidRDefault="00D546FA" w:rsidP="00DC749C">
      <w:pPr>
        <w:pStyle w:val="NormalWeb"/>
        <w:jc w:val="both"/>
        <w:rPr>
          <w:b/>
          <w:bCs/>
          <w:u w:val="single"/>
        </w:rPr>
      </w:pPr>
      <w:r w:rsidRPr="00D546FA">
        <w:rPr>
          <w:b/>
          <w:bCs/>
          <w:u w:val="single"/>
        </w:rPr>
        <w:t>Pièce</w:t>
      </w:r>
      <w:r w:rsidR="001956C8">
        <w:rPr>
          <w:b/>
          <w:bCs/>
          <w:u w:val="single"/>
        </w:rPr>
        <w:t>s</w:t>
      </w:r>
      <w:r w:rsidRPr="00D546FA">
        <w:rPr>
          <w:b/>
          <w:bCs/>
          <w:u w:val="single"/>
        </w:rPr>
        <w:t xml:space="preserve"> jointe :</w:t>
      </w:r>
      <w:r w:rsidR="0047080C">
        <w:rPr>
          <w:b/>
          <w:bCs/>
          <w:u w:val="single"/>
        </w:rPr>
        <w:t xml:space="preserve"> </w:t>
      </w:r>
    </w:p>
    <w:p w:rsidR="00D546FA" w:rsidRPr="00A73763" w:rsidRDefault="00D546FA" w:rsidP="00D546FA">
      <w:pPr>
        <w:pStyle w:val="NormalWeb"/>
        <w:numPr>
          <w:ilvl w:val="0"/>
          <w:numId w:val="10"/>
        </w:numPr>
        <w:jc w:val="both"/>
        <w:rPr>
          <w:rStyle w:val="lev"/>
          <w:b w:val="0"/>
          <w:bCs w:val="0"/>
          <w:sz w:val="22"/>
          <w:szCs w:val="22"/>
        </w:rPr>
      </w:pPr>
      <w:r w:rsidRPr="00A73763">
        <w:rPr>
          <w:rStyle w:val="lev"/>
          <w:b w:val="0"/>
          <w:bCs w:val="0"/>
          <w:sz w:val="22"/>
          <w:szCs w:val="22"/>
        </w:rPr>
        <w:t>Compte rendu des réunions d’échanges</w:t>
      </w:r>
    </w:p>
    <w:p w:rsidR="00D546FA" w:rsidRPr="0080107F" w:rsidRDefault="00A73763" w:rsidP="0080107F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A73763">
        <w:rPr>
          <w:rStyle w:val="lev"/>
          <w:b w:val="0"/>
          <w:bCs w:val="0"/>
          <w:sz w:val="22"/>
          <w:szCs w:val="22"/>
        </w:rPr>
        <w:t>Draft du projet d’arrêté de création du comité technique Portant Création, Attributions, Composition et Fonctionnement du Comité Technique chargé de la Révision de la Liste des Exportateurs Enregistrés</w:t>
      </w:r>
    </w:p>
    <w:sectPr w:rsidR="00D546FA" w:rsidRPr="0080107F" w:rsidSect="0093600B">
      <w:footerReference w:type="even" r:id="rId9"/>
      <w:footerReference w:type="default" r:id="rId10"/>
      <w:type w:val="continuous"/>
      <w:pgSz w:w="11920" w:h="16870"/>
      <w:pgMar w:top="1417" w:right="1417" w:bottom="1417" w:left="1417" w:header="55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4A87" w:rsidRDefault="00C74A87" w:rsidP="00881568">
      <w:r>
        <w:separator/>
      </w:r>
    </w:p>
  </w:endnote>
  <w:endnote w:type="continuationSeparator" w:id="0">
    <w:p w:rsidR="00C74A87" w:rsidRDefault="00C74A87" w:rsidP="0088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33733581"/>
      <w:docPartObj>
        <w:docPartGallery w:val="Page Numbers (Bottom of Page)"/>
        <w:docPartUnique/>
      </w:docPartObj>
    </w:sdtPr>
    <w:sdtContent>
      <w:p w:rsidR="00881568" w:rsidRDefault="00881568" w:rsidP="00DC501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81568" w:rsidRDefault="00881568" w:rsidP="008815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164504712"/>
      <w:docPartObj>
        <w:docPartGallery w:val="Page Numbers (Bottom of Page)"/>
        <w:docPartUnique/>
      </w:docPartObj>
    </w:sdtPr>
    <w:sdtContent>
      <w:p w:rsidR="00881568" w:rsidRDefault="00881568" w:rsidP="00DC501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881568" w:rsidRDefault="00881568" w:rsidP="008815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4A87" w:rsidRDefault="00C74A87" w:rsidP="00881568">
      <w:r>
        <w:separator/>
      </w:r>
    </w:p>
  </w:footnote>
  <w:footnote w:type="continuationSeparator" w:id="0">
    <w:p w:rsidR="00C74A87" w:rsidRDefault="00C74A87" w:rsidP="0088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23F2"/>
    <w:multiLevelType w:val="multilevel"/>
    <w:tmpl w:val="4A08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F4CA8"/>
    <w:multiLevelType w:val="multilevel"/>
    <w:tmpl w:val="36EA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43BEF"/>
    <w:multiLevelType w:val="multilevel"/>
    <w:tmpl w:val="DE2A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74F72"/>
    <w:multiLevelType w:val="hybridMultilevel"/>
    <w:tmpl w:val="C6FA19CC"/>
    <w:lvl w:ilvl="0" w:tplc="1F36A1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87D27"/>
    <w:multiLevelType w:val="multilevel"/>
    <w:tmpl w:val="2E1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0B50"/>
    <w:multiLevelType w:val="hybridMultilevel"/>
    <w:tmpl w:val="22602DAA"/>
    <w:lvl w:ilvl="0" w:tplc="BDE6B3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72BC"/>
    <w:multiLevelType w:val="hybridMultilevel"/>
    <w:tmpl w:val="C674CCF8"/>
    <w:lvl w:ilvl="0" w:tplc="DAE2B220">
      <w:start w:val="2"/>
      <w:numFmt w:val="bullet"/>
      <w:lvlText w:val="-"/>
      <w:lvlJc w:val="left"/>
      <w:pPr>
        <w:ind w:left="479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F147A"/>
    <w:multiLevelType w:val="multilevel"/>
    <w:tmpl w:val="82E4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CD0D2D"/>
    <w:multiLevelType w:val="multilevel"/>
    <w:tmpl w:val="5040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EB57E1"/>
    <w:multiLevelType w:val="hybridMultilevel"/>
    <w:tmpl w:val="14068618"/>
    <w:lvl w:ilvl="0" w:tplc="DAE2B220">
      <w:start w:val="2"/>
      <w:numFmt w:val="bullet"/>
      <w:lvlText w:val="-"/>
      <w:lvlJc w:val="left"/>
      <w:pPr>
        <w:ind w:left="479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7C2E3C60"/>
    <w:multiLevelType w:val="hybridMultilevel"/>
    <w:tmpl w:val="B008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23454">
    <w:abstractNumId w:val="9"/>
  </w:num>
  <w:num w:numId="2" w16cid:durableId="1897886201">
    <w:abstractNumId w:val="3"/>
  </w:num>
  <w:num w:numId="3" w16cid:durableId="563374622">
    <w:abstractNumId w:val="6"/>
  </w:num>
  <w:num w:numId="4" w16cid:durableId="837774804">
    <w:abstractNumId w:val="4"/>
  </w:num>
  <w:num w:numId="5" w16cid:durableId="1366325686">
    <w:abstractNumId w:val="8"/>
  </w:num>
  <w:num w:numId="6" w16cid:durableId="37631321">
    <w:abstractNumId w:val="0"/>
  </w:num>
  <w:num w:numId="7" w16cid:durableId="1871530389">
    <w:abstractNumId w:val="2"/>
  </w:num>
  <w:num w:numId="8" w16cid:durableId="1064449473">
    <w:abstractNumId w:val="1"/>
  </w:num>
  <w:num w:numId="9" w16cid:durableId="1422986506">
    <w:abstractNumId w:val="7"/>
  </w:num>
  <w:num w:numId="10" w16cid:durableId="24522510">
    <w:abstractNumId w:val="5"/>
  </w:num>
  <w:num w:numId="11" w16cid:durableId="22452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0B"/>
    <w:rsid w:val="00002E50"/>
    <w:rsid w:val="00002EBE"/>
    <w:rsid w:val="0004198A"/>
    <w:rsid w:val="00054879"/>
    <w:rsid w:val="00060C21"/>
    <w:rsid w:val="000A4B8D"/>
    <w:rsid w:val="000B40D3"/>
    <w:rsid w:val="000B664F"/>
    <w:rsid w:val="000D230F"/>
    <w:rsid w:val="001309C6"/>
    <w:rsid w:val="001432DC"/>
    <w:rsid w:val="00143B99"/>
    <w:rsid w:val="00151E43"/>
    <w:rsid w:val="001663EF"/>
    <w:rsid w:val="0017062A"/>
    <w:rsid w:val="00183084"/>
    <w:rsid w:val="00183366"/>
    <w:rsid w:val="00194EE1"/>
    <w:rsid w:val="001955B3"/>
    <w:rsid w:val="001956C8"/>
    <w:rsid w:val="00196B40"/>
    <w:rsid w:val="001B413F"/>
    <w:rsid w:val="001B68BB"/>
    <w:rsid w:val="00210B03"/>
    <w:rsid w:val="00221C71"/>
    <w:rsid w:val="00223FF2"/>
    <w:rsid w:val="00241FC9"/>
    <w:rsid w:val="00242CCC"/>
    <w:rsid w:val="00244EFC"/>
    <w:rsid w:val="0024543E"/>
    <w:rsid w:val="002605C0"/>
    <w:rsid w:val="002611EC"/>
    <w:rsid w:val="002721EB"/>
    <w:rsid w:val="002C3414"/>
    <w:rsid w:val="002E3272"/>
    <w:rsid w:val="00304C9E"/>
    <w:rsid w:val="0031700E"/>
    <w:rsid w:val="003352DB"/>
    <w:rsid w:val="00353662"/>
    <w:rsid w:val="00353EB5"/>
    <w:rsid w:val="00361E99"/>
    <w:rsid w:val="003906BF"/>
    <w:rsid w:val="0039578A"/>
    <w:rsid w:val="003C2C38"/>
    <w:rsid w:val="003C6933"/>
    <w:rsid w:val="003E297F"/>
    <w:rsid w:val="003F3CA7"/>
    <w:rsid w:val="00431099"/>
    <w:rsid w:val="00442200"/>
    <w:rsid w:val="00446400"/>
    <w:rsid w:val="00451E8E"/>
    <w:rsid w:val="00455515"/>
    <w:rsid w:val="0047080C"/>
    <w:rsid w:val="00481132"/>
    <w:rsid w:val="004846C9"/>
    <w:rsid w:val="00497267"/>
    <w:rsid w:val="004A06B5"/>
    <w:rsid w:val="004A2752"/>
    <w:rsid w:val="004A592F"/>
    <w:rsid w:val="004B5DD5"/>
    <w:rsid w:val="004D1485"/>
    <w:rsid w:val="004E41C1"/>
    <w:rsid w:val="004F26F5"/>
    <w:rsid w:val="00554E59"/>
    <w:rsid w:val="005666CC"/>
    <w:rsid w:val="00577544"/>
    <w:rsid w:val="005B2B05"/>
    <w:rsid w:val="005B799F"/>
    <w:rsid w:val="005C2B22"/>
    <w:rsid w:val="005E4876"/>
    <w:rsid w:val="0063129C"/>
    <w:rsid w:val="00682058"/>
    <w:rsid w:val="00685D45"/>
    <w:rsid w:val="0069179F"/>
    <w:rsid w:val="00696E08"/>
    <w:rsid w:val="006C23E7"/>
    <w:rsid w:val="00703B87"/>
    <w:rsid w:val="0071628E"/>
    <w:rsid w:val="0073264D"/>
    <w:rsid w:val="00737D04"/>
    <w:rsid w:val="0075515E"/>
    <w:rsid w:val="0077512B"/>
    <w:rsid w:val="0077543D"/>
    <w:rsid w:val="00775A51"/>
    <w:rsid w:val="007771FA"/>
    <w:rsid w:val="007A2C7E"/>
    <w:rsid w:val="007B6CE4"/>
    <w:rsid w:val="007B74A1"/>
    <w:rsid w:val="007E1BCE"/>
    <w:rsid w:val="007E64E2"/>
    <w:rsid w:val="007F1C44"/>
    <w:rsid w:val="0080107F"/>
    <w:rsid w:val="0080322F"/>
    <w:rsid w:val="0080489F"/>
    <w:rsid w:val="00820895"/>
    <w:rsid w:val="00881568"/>
    <w:rsid w:val="008D7E4B"/>
    <w:rsid w:val="008E6E25"/>
    <w:rsid w:val="009335A5"/>
    <w:rsid w:val="0093600B"/>
    <w:rsid w:val="00954F2B"/>
    <w:rsid w:val="009622C0"/>
    <w:rsid w:val="00981CB4"/>
    <w:rsid w:val="009847C7"/>
    <w:rsid w:val="009B7657"/>
    <w:rsid w:val="009D7809"/>
    <w:rsid w:val="009E220F"/>
    <w:rsid w:val="009F335A"/>
    <w:rsid w:val="009F7E44"/>
    <w:rsid w:val="00A23994"/>
    <w:rsid w:val="00A27A29"/>
    <w:rsid w:val="00A34A04"/>
    <w:rsid w:val="00A53125"/>
    <w:rsid w:val="00A73763"/>
    <w:rsid w:val="00AB56FC"/>
    <w:rsid w:val="00AD106D"/>
    <w:rsid w:val="00B04FD0"/>
    <w:rsid w:val="00B814E4"/>
    <w:rsid w:val="00B967A2"/>
    <w:rsid w:val="00BA6381"/>
    <w:rsid w:val="00BF1508"/>
    <w:rsid w:val="00C23D91"/>
    <w:rsid w:val="00C365BD"/>
    <w:rsid w:val="00C4675C"/>
    <w:rsid w:val="00C54813"/>
    <w:rsid w:val="00C66DDF"/>
    <w:rsid w:val="00C72205"/>
    <w:rsid w:val="00C74A87"/>
    <w:rsid w:val="00C75293"/>
    <w:rsid w:val="00C76132"/>
    <w:rsid w:val="00C77265"/>
    <w:rsid w:val="00C77668"/>
    <w:rsid w:val="00CC07AB"/>
    <w:rsid w:val="00CC24F8"/>
    <w:rsid w:val="00CF0912"/>
    <w:rsid w:val="00CF616D"/>
    <w:rsid w:val="00D43E5C"/>
    <w:rsid w:val="00D47084"/>
    <w:rsid w:val="00D5180E"/>
    <w:rsid w:val="00D546FA"/>
    <w:rsid w:val="00D743A5"/>
    <w:rsid w:val="00D85E48"/>
    <w:rsid w:val="00D9335E"/>
    <w:rsid w:val="00D97FE4"/>
    <w:rsid w:val="00DB1317"/>
    <w:rsid w:val="00DB3465"/>
    <w:rsid w:val="00DC0307"/>
    <w:rsid w:val="00DC169E"/>
    <w:rsid w:val="00DC4F61"/>
    <w:rsid w:val="00DC749C"/>
    <w:rsid w:val="00E16074"/>
    <w:rsid w:val="00E55CFB"/>
    <w:rsid w:val="00E61001"/>
    <w:rsid w:val="00E61547"/>
    <w:rsid w:val="00E71AB5"/>
    <w:rsid w:val="00EB4341"/>
    <w:rsid w:val="00ED517E"/>
    <w:rsid w:val="00F0365C"/>
    <w:rsid w:val="00F409CF"/>
    <w:rsid w:val="00F41BFB"/>
    <w:rsid w:val="00F6668F"/>
    <w:rsid w:val="00F70D7F"/>
    <w:rsid w:val="00F968A2"/>
    <w:rsid w:val="00FA2C14"/>
    <w:rsid w:val="00FC1EB7"/>
    <w:rsid w:val="00FD7A39"/>
    <w:rsid w:val="00FE4DC6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6429"/>
  <w15:chartTrackingRefBased/>
  <w15:docId w15:val="{7A8D35D7-C765-2246-85A1-21A1A7CE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Verdan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99"/>
    <w:pPr>
      <w:spacing w:before="0" w:beforeAutospacing="0" w:after="0" w:afterAutospacing="0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9360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55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00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3600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3600B"/>
    <w:rPr>
      <w:b/>
      <w:bCs/>
    </w:rPr>
  </w:style>
  <w:style w:type="paragraph" w:styleId="NormalWeb">
    <w:name w:val="Normal (Web)"/>
    <w:basedOn w:val="Normal"/>
    <w:uiPriority w:val="99"/>
    <w:unhideWhenUsed/>
    <w:rsid w:val="00151E43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rsid w:val="00455515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15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56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88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1971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d’Abzac</dc:creator>
  <cp:keywords/>
  <dc:description/>
  <cp:lastModifiedBy>Khalil d’Abzac</cp:lastModifiedBy>
  <cp:revision>131</cp:revision>
  <cp:lastPrinted>2026-02-12T07:32:00Z</cp:lastPrinted>
  <dcterms:created xsi:type="dcterms:W3CDTF">2026-01-23T09:40:00Z</dcterms:created>
  <dcterms:modified xsi:type="dcterms:W3CDTF">2026-04-15T09:17:00Z</dcterms:modified>
</cp:coreProperties>
</file>