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52FB44" w14:textId="77777777" w:rsidR="00D94BBB" w:rsidRPr="00F855BB" w:rsidRDefault="00D94BBB" w:rsidP="00D94BBB">
      <w:pPr>
        <w:pStyle w:val="NormalWeb"/>
        <w:rPr>
          <w:rStyle w:val="lev"/>
          <w:rFonts w:ascii="Arial Narrow" w:eastAsiaTheme="majorEastAsia" w:hAnsi="Arial Narrow"/>
        </w:rPr>
      </w:pPr>
    </w:p>
    <w:tbl>
      <w:tblPr>
        <w:tblpPr w:leftFromText="141" w:rightFromText="141" w:bottomFromText="200" w:vertAnchor="text" w:horzAnchor="margin" w:tblpY="70"/>
        <w:tblW w:w="5061" w:type="pct"/>
        <w:tblLook w:val="04A0" w:firstRow="1" w:lastRow="0" w:firstColumn="1" w:lastColumn="0" w:noHBand="0" w:noVBand="1"/>
      </w:tblPr>
      <w:tblGrid>
        <w:gridCol w:w="3527"/>
        <w:gridCol w:w="2644"/>
        <w:gridCol w:w="3230"/>
      </w:tblGrid>
      <w:tr w:rsidR="00D94BBB" w:rsidRPr="00F855BB" w14:paraId="6E6EEC70" w14:textId="77777777" w:rsidTr="00AB1ECE">
        <w:trPr>
          <w:trHeight w:val="2678"/>
        </w:trPr>
        <w:tc>
          <w:tcPr>
            <w:tcW w:w="1876" w:type="pct"/>
          </w:tcPr>
          <w:p w14:paraId="077E2564" w14:textId="77777777" w:rsidR="00D94BBB" w:rsidRPr="00F855BB" w:rsidRDefault="00D94BBB" w:rsidP="00AB1ECE">
            <w:pPr>
              <w:widowControl w:val="0"/>
              <w:tabs>
                <w:tab w:val="left" w:pos="2655"/>
              </w:tabs>
              <w:spacing w:after="0" w:line="240" w:lineRule="auto"/>
              <w:rPr>
                <w:rFonts w:ascii="Arial Narrow" w:eastAsia="Times New Roman" w:hAnsi="Arial Narrow" w:cs="Times New Roman"/>
                <w:b/>
                <w:bCs/>
                <w:sz w:val="18"/>
                <w:szCs w:val="18"/>
                <w:lang w:eastAsia="fr-FR"/>
              </w:rPr>
            </w:pPr>
            <w:r w:rsidRPr="00F855BB">
              <w:rPr>
                <w:rFonts w:ascii="Arial Narrow" w:eastAsia="Times New Roman" w:hAnsi="Arial Narrow" w:cs="Times New Roman"/>
                <w:b/>
                <w:bCs/>
                <w:sz w:val="18"/>
                <w:szCs w:val="18"/>
                <w:lang w:eastAsia="fr-FR"/>
              </w:rPr>
              <w:t>RÉPUBLIQUE DU TCHAD</w:t>
            </w:r>
            <w:r w:rsidRPr="00F855BB">
              <w:rPr>
                <w:rFonts w:ascii="Arial Narrow" w:eastAsia="Times New Roman" w:hAnsi="Arial Narrow" w:cs="Times New Roman"/>
                <w:b/>
                <w:bCs/>
                <w:sz w:val="18"/>
                <w:szCs w:val="18"/>
                <w:lang w:eastAsia="fr-FR"/>
              </w:rPr>
              <w:tab/>
            </w:r>
          </w:p>
          <w:p w14:paraId="0D6D1DF6" w14:textId="77777777" w:rsidR="00D94BBB" w:rsidRPr="00F855BB" w:rsidRDefault="00D94BBB" w:rsidP="00AB1ECE">
            <w:pPr>
              <w:widowControl w:val="0"/>
              <w:spacing w:after="0" w:line="240" w:lineRule="auto"/>
              <w:rPr>
                <w:rFonts w:ascii="Arial Narrow" w:eastAsia="Times New Roman" w:hAnsi="Arial Narrow" w:cs="Times New Roman"/>
                <w:b/>
                <w:bCs/>
                <w:sz w:val="18"/>
                <w:szCs w:val="18"/>
                <w:lang w:eastAsia="fr-FR"/>
              </w:rPr>
            </w:pPr>
            <w:r w:rsidRPr="00F855BB">
              <w:rPr>
                <w:rFonts w:ascii="Arial Narrow" w:eastAsia="Times New Roman" w:hAnsi="Arial Narrow" w:cs="Times New Roman"/>
                <w:b/>
                <w:bCs/>
                <w:sz w:val="18"/>
                <w:szCs w:val="18"/>
                <w:lang w:eastAsia="fr-FR"/>
              </w:rPr>
              <w:t>*************</w:t>
            </w:r>
          </w:p>
          <w:p w14:paraId="2E23156C" w14:textId="77777777" w:rsidR="00D94BBB" w:rsidRPr="00F855BB" w:rsidRDefault="00D94BBB" w:rsidP="00AB1ECE">
            <w:pPr>
              <w:widowControl w:val="0"/>
              <w:spacing w:after="0" w:line="240" w:lineRule="auto"/>
              <w:rPr>
                <w:rFonts w:ascii="Arial Narrow" w:eastAsia="Times New Roman" w:hAnsi="Arial Narrow" w:cs="Times New Roman"/>
                <w:b/>
                <w:bCs/>
                <w:sz w:val="18"/>
                <w:szCs w:val="18"/>
                <w:lang w:eastAsia="fr-FR"/>
              </w:rPr>
            </w:pPr>
            <w:r w:rsidRPr="00F855BB">
              <w:rPr>
                <w:rFonts w:ascii="Arial Narrow" w:eastAsia="Times New Roman" w:hAnsi="Arial Narrow" w:cs="Times New Roman"/>
                <w:b/>
                <w:bCs/>
                <w:sz w:val="18"/>
                <w:szCs w:val="18"/>
                <w:lang w:eastAsia="fr-FR"/>
              </w:rPr>
              <w:t xml:space="preserve">MINISTERE DE LA SANTE PUBLIQUE </w:t>
            </w:r>
          </w:p>
          <w:p w14:paraId="12F9ACC6" w14:textId="77777777" w:rsidR="00D94BBB" w:rsidRPr="00F855BB" w:rsidRDefault="00D94BBB" w:rsidP="00AB1ECE">
            <w:pPr>
              <w:widowControl w:val="0"/>
              <w:spacing w:after="0" w:line="240" w:lineRule="auto"/>
              <w:rPr>
                <w:rFonts w:ascii="Arial Narrow" w:eastAsia="Times New Roman" w:hAnsi="Arial Narrow" w:cs="Times New Roman"/>
                <w:b/>
                <w:bCs/>
                <w:sz w:val="18"/>
                <w:szCs w:val="18"/>
                <w:lang w:eastAsia="fr-FR"/>
              </w:rPr>
            </w:pPr>
            <w:r w:rsidRPr="00F855BB">
              <w:rPr>
                <w:rFonts w:ascii="Arial Narrow" w:eastAsia="Times New Roman" w:hAnsi="Arial Narrow" w:cs="Times New Roman"/>
                <w:b/>
                <w:bCs/>
                <w:sz w:val="18"/>
                <w:szCs w:val="18"/>
                <w:lang w:eastAsia="fr-FR"/>
              </w:rPr>
              <w:t>*************</w:t>
            </w:r>
          </w:p>
          <w:p w14:paraId="0F65E7EC" w14:textId="77777777" w:rsidR="00D94BBB" w:rsidRPr="00F855BB" w:rsidRDefault="00D94BBB" w:rsidP="00AB1ECE">
            <w:pPr>
              <w:widowControl w:val="0"/>
              <w:spacing w:after="0" w:line="240" w:lineRule="auto"/>
              <w:rPr>
                <w:rFonts w:ascii="Arial Narrow" w:eastAsia="Times New Roman" w:hAnsi="Arial Narrow" w:cs="Times New Roman"/>
                <w:b/>
                <w:bCs/>
                <w:sz w:val="18"/>
                <w:szCs w:val="18"/>
                <w:lang w:eastAsia="fr-FR"/>
              </w:rPr>
            </w:pPr>
            <w:r w:rsidRPr="00F855BB">
              <w:rPr>
                <w:rFonts w:ascii="Arial Narrow" w:eastAsia="Times New Roman" w:hAnsi="Arial Narrow" w:cs="Times New Roman"/>
                <w:b/>
                <w:bCs/>
                <w:sz w:val="18"/>
                <w:szCs w:val="18"/>
                <w:lang w:eastAsia="fr-FR"/>
              </w:rPr>
              <w:t>SECRETARIAT D’ETAT</w:t>
            </w:r>
          </w:p>
          <w:p w14:paraId="537F00DB" w14:textId="77777777" w:rsidR="00D94BBB" w:rsidRPr="00F855BB" w:rsidRDefault="00D94BBB" w:rsidP="00AB1ECE">
            <w:pPr>
              <w:widowControl w:val="0"/>
              <w:spacing w:after="0" w:line="240" w:lineRule="auto"/>
              <w:rPr>
                <w:rFonts w:ascii="Arial Narrow" w:eastAsia="Times New Roman" w:hAnsi="Arial Narrow" w:cs="Times New Roman"/>
                <w:b/>
                <w:bCs/>
                <w:sz w:val="18"/>
                <w:szCs w:val="18"/>
                <w:lang w:eastAsia="fr-FR"/>
              </w:rPr>
            </w:pPr>
            <w:r w:rsidRPr="00F855BB">
              <w:rPr>
                <w:rFonts w:ascii="Arial Narrow" w:eastAsia="Times New Roman" w:hAnsi="Arial Narrow" w:cs="Times New Roman"/>
                <w:b/>
                <w:bCs/>
                <w:sz w:val="18"/>
                <w:szCs w:val="18"/>
                <w:lang w:eastAsia="fr-FR"/>
              </w:rPr>
              <w:t>*************</w:t>
            </w:r>
          </w:p>
          <w:p w14:paraId="4A50AD45" w14:textId="77777777" w:rsidR="00D94BBB" w:rsidRPr="00F855BB" w:rsidRDefault="00D94BBB" w:rsidP="00AB1ECE">
            <w:pPr>
              <w:widowControl w:val="0"/>
              <w:spacing w:after="0" w:line="240" w:lineRule="auto"/>
              <w:rPr>
                <w:rFonts w:ascii="Arial Narrow" w:eastAsia="Times New Roman" w:hAnsi="Arial Narrow" w:cs="Times New Roman"/>
                <w:b/>
                <w:bCs/>
                <w:sz w:val="18"/>
                <w:szCs w:val="18"/>
                <w:lang w:eastAsia="fr-FR"/>
              </w:rPr>
            </w:pPr>
            <w:r w:rsidRPr="00F855BB">
              <w:rPr>
                <w:rFonts w:ascii="Arial Narrow" w:eastAsia="Times New Roman" w:hAnsi="Arial Narrow" w:cs="Times New Roman"/>
                <w:b/>
                <w:bCs/>
                <w:sz w:val="18"/>
                <w:szCs w:val="18"/>
                <w:lang w:eastAsia="fr-FR"/>
              </w:rPr>
              <w:t>SECERTARIAT GÉNÉRAL</w:t>
            </w:r>
          </w:p>
          <w:p w14:paraId="1414167F" w14:textId="77777777" w:rsidR="00D94BBB" w:rsidRPr="00F855BB" w:rsidRDefault="00D94BBB" w:rsidP="00AB1ECE">
            <w:pPr>
              <w:widowControl w:val="0"/>
              <w:spacing w:after="0" w:line="240" w:lineRule="auto"/>
              <w:rPr>
                <w:rFonts w:ascii="Arial Narrow" w:eastAsia="Times New Roman" w:hAnsi="Arial Narrow" w:cs="Times New Roman"/>
                <w:b/>
                <w:bCs/>
                <w:sz w:val="18"/>
                <w:szCs w:val="18"/>
                <w:lang w:eastAsia="fr-FR"/>
              </w:rPr>
            </w:pPr>
            <w:r w:rsidRPr="00F855BB">
              <w:rPr>
                <w:rFonts w:ascii="Arial Narrow" w:eastAsia="Times New Roman" w:hAnsi="Arial Narrow" w:cs="Times New Roman"/>
                <w:b/>
                <w:bCs/>
                <w:sz w:val="18"/>
                <w:szCs w:val="18"/>
                <w:lang w:eastAsia="fr-FR"/>
              </w:rPr>
              <w:t>*************</w:t>
            </w:r>
          </w:p>
          <w:p w14:paraId="61AFC53A" w14:textId="77777777" w:rsidR="00D94BBB" w:rsidRPr="00F855BB" w:rsidRDefault="00D94BBB" w:rsidP="00AB1ECE">
            <w:pPr>
              <w:widowControl w:val="0"/>
              <w:spacing w:after="0" w:line="240" w:lineRule="auto"/>
              <w:rPr>
                <w:rFonts w:ascii="Arial Narrow" w:eastAsia="Times New Roman" w:hAnsi="Arial Narrow" w:cs="Times New Roman"/>
                <w:b/>
                <w:bCs/>
                <w:sz w:val="18"/>
                <w:szCs w:val="18"/>
                <w:lang w:eastAsia="fr-FR"/>
              </w:rPr>
            </w:pPr>
            <w:r w:rsidRPr="00F855BB">
              <w:rPr>
                <w:rFonts w:ascii="Arial Narrow" w:eastAsia="Times New Roman" w:hAnsi="Arial Narrow" w:cs="Times New Roman"/>
                <w:b/>
                <w:bCs/>
                <w:sz w:val="18"/>
                <w:szCs w:val="18"/>
                <w:lang w:eastAsia="fr-FR"/>
              </w:rPr>
              <w:t>DIRECTION GÉNÉRALE DE LA SANTÉ PUBLIQUE</w:t>
            </w:r>
          </w:p>
          <w:p w14:paraId="2F2E19AA" w14:textId="77777777" w:rsidR="00D94BBB" w:rsidRPr="00F855BB" w:rsidRDefault="00D94BBB" w:rsidP="00AB1ECE">
            <w:pPr>
              <w:widowControl w:val="0"/>
              <w:spacing w:after="0" w:line="240" w:lineRule="auto"/>
              <w:rPr>
                <w:rFonts w:ascii="Arial Narrow" w:eastAsia="Times New Roman" w:hAnsi="Arial Narrow" w:cs="Times New Roman"/>
                <w:b/>
                <w:bCs/>
                <w:sz w:val="18"/>
                <w:szCs w:val="18"/>
                <w:lang w:eastAsia="fr-FR"/>
              </w:rPr>
            </w:pPr>
            <w:r w:rsidRPr="00F855BB">
              <w:rPr>
                <w:rFonts w:ascii="Arial Narrow" w:eastAsia="Times New Roman" w:hAnsi="Arial Narrow" w:cs="Times New Roman"/>
                <w:b/>
                <w:bCs/>
                <w:sz w:val="18"/>
                <w:szCs w:val="18"/>
                <w:lang w:eastAsia="fr-FR"/>
              </w:rPr>
              <w:t>*************</w:t>
            </w:r>
          </w:p>
          <w:p w14:paraId="169B4F33" w14:textId="77777777" w:rsidR="00D94BBB" w:rsidRPr="00F855BB" w:rsidRDefault="00D94BBB" w:rsidP="00AB1ECE">
            <w:pPr>
              <w:widowControl w:val="0"/>
              <w:spacing w:after="0" w:line="240" w:lineRule="auto"/>
              <w:rPr>
                <w:rFonts w:ascii="Arial Narrow" w:eastAsia="Times New Roman" w:hAnsi="Arial Narrow" w:cs="Times New Roman"/>
                <w:b/>
                <w:bCs/>
                <w:sz w:val="18"/>
                <w:szCs w:val="18"/>
                <w:lang w:eastAsia="fr-FR"/>
              </w:rPr>
            </w:pPr>
            <w:r w:rsidRPr="00F855BB">
              <w:rPr>
                <w:rFonts w:ascii="Arial Narrow" w:eastAsia="Times New Roman" w:hAnsi="Arial Narrow" w:cs="Times New Roman"/>
                <w:b/>
                <w:bCs/>
                <w:sz w:val="18"/>
                <w:szCs w:val="18"/>
                <w:lang w:eastAsia="fr-FR"/>
              </w:rPr>
              <w:t>DIRECTION DE LA VACCINATION, DE LA LUTTE CONTRE LA MALADIE ET DE LA SURVEILLANCE EPIDEMIOLOGIQUE</w:t>
            </w:r>
          </w:p>
        </w:tc>
        <w:tc>
          <w:tcPr>
            <w:tcW w:w="1406" w:type="pct"/>
          </w:tcPr>
          <w:p w14:paraId="5F3A1318" w14:textId="77777777" w:rsidR="00D94BBB" w:rsidRPr="00F855BB" w:rsidRDefault="00D94BBB" w:rsidP="00AB1ECE">
            <w:pPr>
              <w:autoSpaceDE w:val="0"/>
              <w:autoSpaceDN w:val="0"/>
              <w:bidi/>
              <w:adjustRightInd w:val="0"/>
              <w:spacing w:after="0" w:line="240" w:lineRule="auto"/>
              <w:jc w:val="center"/>
              <w:rPr>
                <w:rFonts w:ascii="Arial Narrow" w:eastAsia="Times New Roman" w:hAnsi="Arial Narrow" w:cs="Times New Roman"/>
                <w:b/>
                <w:bCs/>
                <w:sz w:val="18"/>
                <w:szCs w:val="18"/>
                <w:lang w:eastAsia="fr-FR"/>
              </w:rPr>
            </w:pPr>
            <w:r w:rsidRPr="00F855BB">
              <w:rPr>
                <w:rFonts w:ascii="Arial Narrow" w:eastAsia="Times New Roman" w:hAnsi="Arial Narrow" w:cs="Times New Roman"/>
                <w:b/>
                <w:bCs/>
                <w:sz w:val="18"/>
                <w:szCs w:val="18"/>
                <w:lang w:eastAsia="fr-FR"/>
              </w:rPr>
              <w:t>Unité-Travail-Progrès</w:t>
            </w:r>
          </w:p>
          <w:p w14:paraId="51FB6911" w14:textId="77777777" w:rsidR="00D94BBB" w:rsidRPr="00F855BB" w:rsidRDefault="00D94BBB" w:rsidP="00AB1ECE">
            <w:pPr>
              <w:autoSpaceDE w:val="0"/>
              <w:autoSpaceDN w:val="0"/>
              <w:bidi/>
              <w:adjustRightInd w:val="0"/>
              <w:spacing w:after="0" w:line="240" w:lineRule="auto"/>
              <w:rPr>
                <w:rFonts w:ascii="Arial Narrow" w:eastAsia="Times New Roman" w:hAnsi="Arial Narrow" w:cs="Times New Roman"/>
                <w:b/>
                <w:bCs/>
                <w:sz w:val="18"/>
                <w:szCs w:val="18"/>
                <w:lang w:eastAsia="fr-FR"/>
              </w:rPr>
            </w:pPr>
          </w:p>
          <w:p w14:paraId="34FA99DA" w14:textId="77777777" w:rsidR="00D94BBB" w:rsidRPr="00F855BB" w:rsidRDefault="00D94BBB" w:rsidP="00AB1ECE">
            <w:pPr>
              <w:autoSpaceDE w:val="0"/>
              <w:autoSpaceDN w:val="0"/>
              <w:bidi/>
              <w:adjustRightInd w:val="0"/>
              <w:spacing w:after="0" w:line="240" w:lineRule="auto"/>
              <w:jc w:val="center"/>
              <w:rPr>
                <w:rFonts w:ascii="Arial Narrow" w:eastAsia="Times New Roman" w:hAnsi="Arial Narrow" w:cs="Times New Roman"/>
                <w:b/>
                <w:bCs/>
                <w:sz w:val="18"/>
                <w:szCs w:val="18"/>
                <w:lang w:eastAsia="fr-FR"/>
              </w:rPr>
            </w:pPr>
            <w:r w:rsidRPr="00F855BB">
              <w:rPr>
                <w:rFonts w:ascii="Arial Narrow" w:eastAsia="Times New Roman" w:hAnsi="Arial Narrow" w:cs="Times New Roman"/>
                <w:b/>
                <w:noProof/>
                <w:sz w:val="18"/>
                <w:szCs w:val="18"/>
                <w:lang w:eastAsia="fr-FR"/>
              </w:rPr>
              <w:drawing>
                <wp:inline distT="0" distB="0" distL="0" distR="0" wp14:anchorId="30718172" wp14:editId="0D7FB687">
                  <wp:extent cx="856527" cy="856526"/>
                  <wp:effectExtent l="0" t="0" r="0" b="0"/>
                  <wp:docPr id="1" name="Image 1" descr="Description : Description : C:\Users\SONY\Pictures\220px-Coat_of_arms_of_Chad_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descr="Description : Description : C:\Users\SONY\Pictures\220px-Coat_of_arms_of_Chad_svg.pn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0449" cy="860447"/>
                          </a:xfrm>
                          <a:prstGeom prst="rect">
                            <a:avLst/>
                          </a:prstGeom>
                          <a:noFill/>
                          <a:ln>
                            <a:noFill/>
                          </a:ln>
                        </pic:spPr>
                      </pic:pic>
                    </a:graphicData>
                  </a:graphic>
                </wp:inline>
              </w:drawing>
            </w:r>
          </w:p>
          <w:p w14:paraId="0CED1086" w14:textId="77777777" w:rsidR="00D94BBB" w:rsidRPr="00F855BB" w:rsidRDefault="00D94BBB" w:rsidP="00AB1ECE">
            <w:pPr>
              <w:autoSpaceDE w:val="0"/>
              <w:autoSpaceDN w:val="0"/>
              <w:bidi/>
              <w:adjustRightInd w:val="0"/>
              <w:spacing w:after="0" w:line="240" w:lineRule="auto"/>
              <w:rPr>
                <w:rFonts w:ascii="Arial Narrow" w:eastAsia="Times New Roman" w:hAnsi="Arial Narrow" w:cs="Times New Roman"/>
                <w:b/>
                <w:bCs/>
                <w:sz w:val="18"/>
                <w:szCs w:val="18"/>
                <w:lang w:eastAsia="fr-FR"/>
              </w:rPr>
            </w:pPr>
          </w:p>
          <w:p w14:paraId="7D9F8D5D" w14:textId="77777777" w:rsidR="00D94BBB" w:rsidRPr="00F855BB" w:rsidRDefault="00D94BBB" w:rsidP="00AB1ECE">
            <w:pPr>
              <w:autoSpaceDE w:val="0"/>
              <w:autoSpaceDN w:val="0"/>
              <w:bidi/>
              <w:adjustRightInd w:val="0"/>
              <w:spacing w:after="0" w:line="240" w:lineRule="auto"/>
              <w:jc w:val="center"/>
              <w:rPr>
                <w:rFonts w:ascii="Arial Narrow" w:eastAsia="Times New Roman" w:hAnsi="Arial Narrow" w:cs="Times New Roman"/>
                <w:b/>
                <w:bCs/>
                <w:sz w:val="18"/>
                <w:szCs w:val="18"/>
                <w:lang w:eastAsia="fr-FR"/>
              </w:rPr>
            </w:pPr>
            <w:r w:rsidRPr="00F855BB">
              <w:rPr>
                <w:rFonts w:ascii="Arial Narrow" w:eastAsia="Times New Roman" w:hAnsi="Arial Narrow" w:cs="Times New Roman"/>
                <w:b/>
                <w:bCs/>
                <w:sz w:val="18"/>
                <w:szCs w:val="18"/>
                <w:rtl/>
                <w:lang w:eastAsia="fr-FR"/>
              </w:rPr>
              <w:t>وحدة-عمل-تقدم</w:t>
            </w:r>
          </w:p>
        </w:tc>
        <w:tc>
          <w:tcPr>
            <w:tcW w:w="1718" w:type="pct"/>
          </w:tcPr>
          <w:p w14:paraId="6CFF1AD3" w14:textId="77777777" w:rsidR="00D94BBB" w:rsidRPr="00F855BB" w:rsidRDefault="00D94BBB" w:rsidP="00AB1ECE">
            <w:pPr>
              <w:widowControl w:val="0"/>
              <w:autoSpaceDE w:val="0"/>
              <w:autoSpaceDN w:val="0"/>
              <w:bidi/>
              <w:adjustRightInd w:val="0"/>
              <w:spacing w:after="0" w:line="240" w:lineRule="auto"/>
              <w:rPr>
                <w:rFonts w:ascii="Arial Narrow" w:eastAsia="Times New Roman" w:hAnsi="Arial Narrow" w:cs="Times New Roman"/>
                <w:b/>
                <w:bCs/>
                <w:sz w:val="20"/>
                <w:szCs w:val="20"/>
                <w:rtl/>
                <w:lang w:eastAsia="fr-FR"/>
              </w:rPr>
            </w:pPr>
            <w:r w:rsidRPr="00F855BB">
              <w:rPr>
                <w:rFonts w:ascii="Arial Narrow" w:eastAsia="Times New Roman" w:hAnsi="Arial Narrow" w:cs="Times New Roman"/>
                <w:b/>
                <w:bCs/>
                <w:sz w:val="20"/>
                <w:szCs w:val="20"/>
                <w:rtl/>
                <w:lang w:eastAsia="fr-FR"/>
              </w:rPr>
              <w:t>جـمهـوريـة تـشاد</w:t>
            </w:r>
          </w:p>
          <w:p w14:paraId="11B4FC2D" w14:textId="77777777" w:rsidR="00D94BBB" w:rsidRPr="00F855BB" w:rsidRDefault="00D94BBB" w:rsidP="00AB1ECE">
            <w:pPr>
              <w:widowControl w:val="0"/>
              <w:autoSpaceDE w:val="0"/>
              <w:autoSpaceDN w:val="0"/>
              <w:bidi/>
              <w:adjustRightInd w:val="0"/>
              <w:spacing w:after="0" w:line="240" w:lineRule="auto"/>
              <w:rPr>
                <w:rFonts w:ascii="Arial Narrow" w:eastAsia="Times New Roman" w:hAnsi="Arial Narrow" w:cs="Times New Roman"/>
                <w:b/>
                <w:bCs/>
                <w:sz w:val="20"/>
                <w:szCs w:val="20"/>
                <w:lang w:eastAsia="fr-FR"/>
              </w:rPr>
            </w:pPr>
            <w:r w:rsidRPr="00F855BB">
              <w:rPr>
                <w:rFonts w:ascii="Arial Narrow" w:eastAsia="Times New Roman" w:hAnsi="Arial Narrow" w:cs="Times New Roman"/>
                <w:b/>
                <w:bCs/>
                <w:sz w:val="20"/>
                <w:szCs w:val="20"/>
                <w:rtl/>
                <w:lang w:eastAsia="fr-FR"/>
              </w:rPr>
              <w:t>*******</w:t>
            </w:r>
          </w:p>
          <w:p w14:paraId="673B16FF" w14:textId="77777777" w:rsidR="00D94BBB" w:rsidRPr="00F855BB" w:rsidRDefault="00D94BBB" w:rsidP="00AB1ECE">
            <w:pPr>
              <w:widowControl w:val="0"/>
              <w:autoSpaceDE w:val="0"/>
              <w:autoSpaceDN w:val="0"/>
              <w:bidi/>
              <w:adjustRightInd w:val="0"/>
              <w:spacing w:after="0" w:line="240" w:lineRule="auto"/>
              <w:rPr>
                <w:rFonts w:ascii="Arial Narrow" w:eastAsia="Times New Roman" w:hAnsi="Arial Narrow" w:cs="Times New Roman"/>
                <w:b/>
                <w:bCs/>
                <w:color w:val="333333"/>
                <w:sz w:val="20"/>
                <w:szCs w:val="20"/>
                <w:shd w:val="clear" w:color="auto" w:fill="FFFFFF"/>
                <w:lang w:eastAsia="fr-FR"/>
              </w:rPr>
            </w:pPr>
            <w:r w:rsidRPr="00F855BB">
              <w:rPr>
                <w:rFonts w:ascii="Arial Narrow" w:eastAsia="Times New Roman" w:hAnsi="Arial Narrow" w:cs="Times New Roman"/>
                <w:b/>
                <w:bCs/>
                <w:color w:val="333333"/>
                <w:sz w:val="20"/>
                <w:szCs w:val="20"/>
                <w:shd w:val="clear" w:color="auto" w:fill="FFFFFF"/>
                <w:rtl/>
                <w:lang w:eastAsia="fr-FR"/>
              </w:rPr>
              <w:t>وزارة الصحة العامة</w:t>
            </w:r>
            <w:r w:rsidRPr="00F855BB">
              <w:rPr>
                <w:rFonts w:ascii="Arial Narrow" w:eastAsia="Times New Roman" w:hAnsi="Arial Narrow" w:cs="Arial"/>
                <w:b/>
                <w:bCs/>
                <w:color w:val="333333"/>
                <w:sz w:val="20"/>
                <w:szCs w:val="20"/>
                <w:shd w:val="clear" w:color="auto" w:fill="FFFFFF"/>
                <w:rtl/>
                <w:lang w:eastAsia="fr-FR"/>
              </w:rPr>
              <w:t> </w:t>
            </w:r>
          </w:p>
          <w:p w14:paraId="60EE2DDE" w14:textId="77777777" w:rsidR="00D94BBB" w:rsidRPr="00F855BB" w:rsidRDefault="00D94BBB" w:rsidP="00AB1ECE">
            <w:pPr>
              <w:widowControl w:val="0"/>
              <w:autoSpaceDE w:val="0"/>
              <w:autoSpaceDN w:val="0"/>
              <w:bidi/>
              <w:adjustRightInd w:val="0"/>
              <w:spacing w:after="0" w:line="240" w:lineRule="auto"/>
              <w:rPr>
                <w:rFonts w:ascii="Arial Narrow" w:eastAsia="Times New Roman" w:hAnsi="Arial Narrow" w:cs="Times New Roman"/>
                <w:b/>
                <w:bCs/>
                <w:sz w:val="20"/>
                <w:szCs w:val="20"/>
                <w:lang w:eastAsia="fr-FR"/>
              </w:rPr>
            </w:pPr>
            <w:r w:rsidRPr="00F855BB">
              <w:rPr>
                <w:rFonts w:ascii="Arial Narrow" w:eastAsia="Times New Roman" w:hAnsi="Arial Narrow" w:cs="Times New Roman"/>
                <w:b/>
                <w:bCs/>
                <w:sz w:val="20"/>
                <w:szCs w:val="20"/>
                <w:rtl/>
                <w:lang w:eastAsia="fr-FR"/>
              </w:rPr>
              <w:t>*******</w:t>
            </w:r>
          </w:p>
          <w:p w14:paraId="2C6299CE" w14:textId="77777777" w:rsidR="00D94BBB" w:rsidRPr="00F855BB" w:rsidRDefault="00D94BBB" w:rsidP="00AB1ECE">
            <w:pPr>
              <w:widowControl w:val="0"/>
              <w:autoSpaceDE w:val="0"/>
              <w:autoSpaceDN w:val="0"/>
              <w:bidi/>
              <w:adjustRightInd w:val="0"/>
              <w:spacing w:after="0" w:line="240" w:lineRule="auto"/>
              <w:rPr>
                <w:rFonts w:ascii="Arial Narrow" w:eastAsia="Times New Roman" w:hAnsi="Arial Narrow" w:cs="Times New Roman"/>
                <w:b/>
                <w:bCs/>
                <w:color w:val="333333"/>
                <w:sz w:val="20"/>
                <w:szCs w:val="20"/>
                <w:shd w:val="clear" w:color="auto" w:fill="FFFFFF"/>
                <w:rtl/>
                <w:lang w:eastAsia="fr-FR"/>
              </w:rPr>
            </w:pPr>
            <w:r w:rsidRPr="00F855BB">
              <w:rPr>
                <w:rFonts w:ascii="Arial Narrow" w:eastAsia="Times New Roman" w:hAnsi="Arial Narrow" w:cs="Times New Roman"/>
                <w:b/>
                <w:bCs/>
                <w:color w:val="333333"/>
                <w:sz w:val="20"/>
                <w:szCs w:val="20"/>
                <w:shd w:val="clear" w:color="auto" w:fill="FFFFFF"/>
                <w:rtl/>
                <w:lang w:eastAsia="fr-FR"/>
              </w:rPr>
              <w:t>أمانة الدولة</w:t>
            </w:r>
          </w:p>
          <w:p w14:paraId="5DB34CD9" w14:textId="77777777" w:rsidR="00D94BBB" w:rsidRPr="00F855BB" w:rsidRDefault="00D94BBB" w:rsidP="00AB1ECE">
            <w:pPr>
              <w:widowControl w:val="0"/>
              <w:autoSpaceDE w:val="0"/>
              <w:autoSpaceDN w:val="0"/>
              <w:bidi/>
              <w:adjustRightInd w:val="0"/>
              <w:spacing w:after="0" w:line="240" w:lineRule="auto"/>
              <w:rPr>
                <w:rFonts w:ascii="Arial Narrow" w:eastAsia="Times New Roman" w:hAnsi="Arial Narrow" w:cs="Times New Roman"/>
                <w:b/>
                <w:bCs/>
                <w:sz w:val="20"/>
                <w:szCs w:val="20"/>
                <w:lang w:eastAsia="fr-FR"/>
              </w:rPr>
            </w:pPr>
            <w:r w:rsidRPr="00F855BB">
              <w:rPr>
                <w:rFonts w:ascii="Arial Narrow" w:eastAsia="Times New Roman" w:hAnsi="Arial Narrow" w:cs="Times New Roman"/>
                <w:b/>
                <w:bCs/>
                <w:sz w:val="20"/>
                <w:szCs w:val="20"/>
                <w:rtl/>
                <w:lang w:eastAsia="fr-FR"/>
              </w:rPr>
              <w:t>*******</w:t>
            </w:r>
          </w:p>
          <w:p w14:paraId="429818F1" w14:textId="77777777" w:rsidR="00D94BBB" w:rsidRPr="00F855BB" w:rsidRDefault="00D94BBB" w:rsidP="00AB1ECE">
            <w:pPr>
              <w:widowControl w:val="0"/>
              <w:autoSpaceDE w:val="0"/>
              <w:autoSpaceDN w:val="0"/>
              <w:bidi/>
              <w:adjustRightInd w:val="0"/>
              <w:spacing w:after="0" w:line="240" w:lineRule="auto"/>
              <w:rPr>
                <w:rFonts w:ascii="Arial Narrow" w:eastAsia="Times New Roman" w:hAnsi="Arial Narrow" w:cs="Times New Roman"/>
                <w:sz w:val="24"/>
                <w:szCs w:val="24"/>
                <w:rtl/>
                <w:lang w:eastAsia="fr-FR"/>
              </w:rPr>
            </w:pPr>
            <w:r w:rsidRPr="00F855BB">
              <w:rPr>
                <w:rFonts w:ascii="Arial Narrow" w:eastAsia="Times New Roman" w:hAnsi="Arial Narrow" w:cs="Times New Roman"/>
                <w:sz w:val="24"/>
                <w:szCs w:val="24"/>
                <w:rtl/>
                <w:lang w:eastAsia="fr-FR"/>
              </w:rPr>
              <w:t xml:space="preserve">الأمانة العامة </w:t>
            </w:r>
          </w:p>
          <w:p w14:paraId="6001B5E8" w14:textId="77777777" w:rsidR="00D94BBB" w:rsidRPr="00F855BB" w:rsidRDefault="00D94BBB" w:rsidP="00AB1ECE">
            <w:pPr>
              <w:widowControl w:val="0"/>
              <w:autoSpaceDE w:val="0"/>
              <w:autoSpaceDN w:val="0"/>
              <w:bidi/>
              <w:adjustRightInd w:val="0"/>
              <w:spacing w:after="0" w:line="240" w:lineRule="auto"/>
              <w:rPr>
                <w:rFonts w:ascii="Arial Narrow" w:eastAsia="Times New Roman" w:hAnsi="Arial Narrow" w:cs="Times New Roman"/>
                <w:b/>
                <w:bCs/>
                <w:sz w:val="20"/>
                <w:szCs w:val="20"/>
                <w:lang w:eastAsia="fr-FR"/>
              </w:rPr>
            </w:pPr>
            <w:r w:rsidRPr="00F855BB">
              <w:rPr>
                <w:rFonts w:ascii="Arial Narrow" w:eastAsia="Times New Roman" w:hAnsi="Arial Narrow" w:cs="Times New Roman"/>
                <w:b/>
                <w:bCs/>
                <w:sz w:val="20"/>
                <w:szCs w:val="20"/>
                <w:rtl/>
                <w:lang w:eastAsia="fr-FR"/>
              </w:rPr>
              <w:t>*******</w:t>
            </w:r>
          </w:p>
          <w:p w14:paraId="3CAC75C0" w14:textId="77777777" w:rsidR="00D94BBB" w:rsidRPr="00F855BB" w:rsidRDefault="00D94BBB" w:rsidP="00AB1ECE">
            <w:pPr>
              <w:widowControl w:val="0"/>
              <w:autoSpaceDE w:val="0"/>
              <w:autoSpaceDN w:val="0"/>
              <w:bidi/>
              <w:adjustRightInd w:val="0"/>
              <w:spacing w:after="0" w:line="240" w:lineRule="auto"/>
              <w:rPr>
                <w:rFonts w:ascii="Arial Narrow" w:eastAsia="Times New Roman" w:hAnsi="Arial Narrow" w:cs="Times New Roman"/>
                <w:sz w:val="24"/>
                <w:szCs w:val="24"/>
                <w:lang w:eastAsia="fr-FR"/>
              </w:rPr>
            </w:pPr>
            <w:r w:rsidRPr="00F855BB">
              <w:rPr>
                <w:rFonts w:ascii="Arial Narrow" w:eastAsia="Times New Roman" w:hAnsi="Arial Narrow" w:cs="Times New Roman"/>
                <w:sz w:val="24"/>
                <w:szCs w:val="24"/>
                <w:rtl/>
                <w:lang w:eastAsia="fr-FR"/>
              </w:rPr>
              <w:t>الإدارة العامة للصحة العامة</w:t>
            </w:r>
          </w:p>
          <w:p w14:paraId="3F2E12E1" w14:textId="77777777" w:rsidR="00D94BBB" w:rsidRPr="00F855BB" w:rsidRDefault="00D94BBB" w:rsidP="00AB1ECE">
            <w:pPr>
              <w:widowControl w:val="0"/>
              <w:autoSpaceDE w:val="0"/>
              <w:autoSpaceDN w:val="0"/>
              <w:bidi/>
              <w:adjustRightInd w:val="0"/>
              <w:spacing w:after="0" w:line="240" w:lineRule="auto"/>
              <w:rPr>
                <w:rFonts w:ascii="Arial Narrow" w:eastAsia="Times New Roman" w:hAnsi="Arial Narrow" w:cs="Times New Roman"/>
                <w:b/>
                <w:bCs/>
                <w:sz w:val="20"/>
                <w:szCs w:val="20"/>
                <w:lang w:eastAsia="fr-FR"/>
              </w:rPr>
            </w:pPr>
            <w:r w:rsidRPr="00F855BB">
              <w:rPr>
                <w:rFonts w:ascii="Arial Narrow" w:eastAsia="Times New Roman" w:hAnsi="Arial Narrow" w:cs="Times New Roman"/>
                <w:b/>
                <w:bCs/>
                <w:sz w:val="20"/>
                <w:szCs w:val="20"/>
                <w:rtl/>
                <w:lang w:eastAsia="fr-FR"/>
              </w:rPr>
              <w:t>*******</w:t>
            </w:r>
          </w:p>
          <w:p w14:paraId="65970A31" w14:textId="77777777" w:rsidR="00D94BBB" w:rsidRPr="00F855BB" w:rsidRDefault="00D94BBB" w:rsidP="00AB1ECE">
            <w:pPr>
              <w:widowControl w:val="0"/>
              <w:autoSpaceDE w:val="0"/>
              <w:autoSpaceDN w:val="0"/>
              <w:bidi/>
              <w:adjustRightInd w:val="0"/>
              <w:spacing w:after="0" w:line="240" w:lineRule="auto"/>
              <w:rPr>
                <w:rFonts w:ascii="Arial Narrow" w:eastAsia="Times New Roman" w:hAnsi="Arial Narrow" w:cs="Times New Roman"/>
                <w:sz w:val="24"/>
                <w:szCs w:val="24"/>
                <w:rtl/>
                <w:lang w:eastAsia="fr-FR"/>
              </w:rPr>
            </w:pPr>
            <w:r w:rsidRPr="00F855BB">
              <w:rPr>
                <w:rFonts w:ascii="Arial Narrow" w:eastAsia="Times New Roman" w:hAnsi="Arial Narrow" w:cs="Times New Roman"/>
                <w:sz w:val="24"/>
                <w:szCs w:val="24"/>
                <w:rtl/>
                <w:lang w:eastAsia="fr-FR"/>
              </w:rPr>
              <w:t>إدارة التطعيم ومكافحة الأمراض ومراقبة الأوبئة</w:t>
            </w:r>
          </w:p>
        </w:tc>
      </w:tr>
    </w:tbl>
    <w:p w14:paraId="20E27614" w14:textId="680D61EB" w:rsidR="00D94BBB" w:rsidRPr="00F855BB" w:rsidRDefault="00D94BBB" w:rsidP="00D94BBB">
      <w:pPr>
        <w:tabs>
          <w:tab w:val="left" w:pos="1356"/>
        </w:tabs>
        <w:rPr>
          <w:rFonts w:ascii="Arial Narrow" w:hAnsi="Arial Narrow" w:cs="Arial"/>
          <w:szCs w:val="24"/>
        </w:rPr>
      </w:pPr>
      <w:r w:rsidRPr="00F855BB">
        <w:rPr>
          <w:rFonts w:ascii="Arial Narrow" w:hAnsi="Arial Narrow"/>
        </w:rPr>
        <w:tab/>
      </w:r>
    </w:p>
    <w:p w14:paraId="17BC908C" w14:textId="6472558D" w:rsidR="00D94BBB" w:rsidRPr="00F855BB" w:rsidRDefault="00D8263F" w:rsidP="00D94BBB">
      <w:pPr>
        <w:tabs>
          <w:tab w:val="left" w:pos="195"/>
        </w:tabs>
        <w:rPr>
          <w:rFonts w:ascii="Arial Narrow" w:hAnsi="Arial Narrow"/>
          <w:sz w:val="24"/>
          <w:szCs w:val="24"/>
        </w:rPr>
      </w:pPr>
      <w:r>
        <w:rPr>
          <w:rFonts w:ascii="Arial Narrow" w:hAnsi="Arial Narrow" w:cs="Arial"/>
          <w:b/>
          <w:noProof/>
          <w:sz w:val="24"/>
          <w:lang w:eastAsia="fr-FR"/>
        </w:rPr>
        <w:pict w14:anchorId="52A73FCF">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5" o:spid="_x0000_s1030" type="#_x0000_t98" style="position:absolute;margin-left:23.45pt;margin-top:3.4pt;width:435.15pt;height:129.3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" strokecolor="#7030a0" strokeweight="2pt">
            <v:fill color2="#999" focus="100%" type="gradient"/>
            <v:shadow on="t" color="#7f7f7f" opacity=".5" offset="0,3pt"/>
            <v:textbox>
              <w:txbxContent>
                <w:p w14:paraId="455CEAB3" w14:textId="54260B10" w:rsidR="00D94BBB" w:rsidRPr="0014792A" w:rsidRDefault="00D94BBB" w:rsidP="00D94BBB">
                  <w:pPr>
                    <w:keepNext/>
                    <w:keepLines/>
                    <w:jc w:val="center"/>
                    <w:outlineLvl w:val="0"/>
                    <w:rPr>
                      <w:rFonts w:ascii="Andalus" w:eastAsia="Calibri" w:hAnsi="Andalus" w:cs="Andalus"/>
                      <w:b/>
                      <w:color w:val="002060"/>
                      <w:sz w:val="32"/>
                      <w:szCs w:val="28"/>
                    </w:rPr>
                  </w:pPr>
                  <w:bookmarkStart w:id="0" w:name="_Toc197420466"/>
                  <w:bookmarkStart w:id="1" w:name="_Toc197419146"/>
                  <w:r>
                    <w:rPr>
                      <w:rFonts w:ascii="Arial" w:hAnsi="Arial" w:cs="Arial"/>
                      <w:b/>
                      <w:bCs/>
                      <w:sz w:val="28"/>
                    </w:rPr>
                    <w:t>RAPPORT DE FORMATION DES POINTS FOCAUX IEC ET LES DELEGUES SANITAIRES DES 23 PROVINCES DU TCHAD</w:t>
                  </w:r>
                  <w:r w:rsidR="00341F79">
                    <w:rPr>
                      <w:rFonts w:ascii="Arial" w:hAnsi="Arial" w:cs="Arial"/>
                      <w:b/>
                      <w:bCs/>
                      <w:sz w:val="28"/>
                    </w:rPr>
                    <w:t xml:space="preserve"> SUR LES APPROCHES DE LA COMMUNICATION POUR LE CHANGEMENT SOCIAL ET COMPORTEMENTAL (SBC)</w:t>
                  </w:r>
                  <w:bookmarkEnd w:id="0"/>
                  <w:r>
                    <w:rPr>
                      <w:rFonts w:ascii="Arial" w:hAnsi="Arial" w:cs="Arial"/>
                      <w:b/>
                      <w:bCs/>
                      <w:sz w:val="28"/>
                    </w:rPr>
                    <w:t xml:space="preserve">  </w:t>
                  </w:r>
                  <w:r w:rsidRPr="0014792A">
                    <w:rPr>
                      <w:rFonts w:ascii="Arial" w:hAnsi="Arial" w:cs="Arial"/>
                      <w:b/>
                      <w:bCs/>
                      <w:sz w:val="28"/>
                    </w:rPr>
                    <w:t xml:space="preserve"> </w:t>
                  </w:r>
                </w:p>
                <w:p w14:paraId="18A4AF52" w14:textId="77777777" w:rsidR="00D94BBB" w:rsidRDefault="00D94BBB"/>
                <w:p w14:paraId="1D027634" w14:textId="77777777" w:rsidR="00D94BBB" w:rsidRPr="0014792A" w:rsidRDefault="00D94BBB" w:rsidP="00D94BBB">
                  <w:pPr>
                    <w:keepNext/>
                    <w:keepLines/>
                    <w:jc w:val="center"/>
                    <w:outlineLvl w:val="0"/>
                    <w:rPr>
                      <w:rFonts w:ascii="Andalus" w:eastAsia="Calibri" w:hAnsi="Andalus" w:cs="Andalus"/>
                      <w:b/>
                      <w:color w:val="002060"/>
                      <w:sz w:val="32"/>
                      <w:szCs w:val="28"/>
                    </w:rPr>
                  </w:pPr>
                  <w:bookmarkStart w:id="2" w:name="_Toc197420467"/>
                  <w:r>
                    <w:rPr>
                      <w:rFonts w:ascii="Arial" w:hAnsi="Arial" w:cs="Arial"/>
                      <w:b/>
                      <w:bCs/>
                      <w:sz w:val="28"/>
                    </w:rPr>
                    <w:t>RAPPORT DE FORMATION DES POINTS FOCAUX IEC ET LES DELEGUES SANITAIRES DES 23 PROVINCES DU TCHAD</w:t>
                  </w:r>
                  <w:r w:rsidR="00341F79">
                    <w:rPr>
                      <w:rFonts w:ascii="Arial" w:hAnsi="Arial" w:cs="Arial"/>
                      <w:b/>
                      <w:bCs/>
                      <w:sz w:val="28"/>
                    </w:rPr>
                    <w:t xml:space="preserve"> SUR LES APPROCHES DE LA COMMUNICATION POUR LE CHANGEMENT SOCIAL ET COMPORTEMENTAL (SBC)</w:t>
                  </w:r>
                  <w:bookmarkEnd w:id="1"/>
                  <w:bookmarkEnd w:id="2"/>
                  <w:r>
                    <w:rPr>
                      <w:rFonts w:ascii="Arial" w:hAnsi="Arial" w:cs="Arial"/>
                      <w:b/>
                      <w:bCs/>
                      <w:sz w:val="28"/>
                    </w:rPr>
                    <w:t xml:space="preserve">  </w:t>
                  </w:r>
                  <w:r w:rsidRPr="0014792A">
                    <w:rPr>
                      <w:rFonts w:ascii="Arial" w:hAnsi="Arial" w:cs="Arial"/>
                      <w:b/>
                      <w:bCs/>
                      <w:sz w:val="28"/>
                    </w:rPr>
                    <w:t xml:space="preserve"> </w:t>
                  </w:r>
                </w:p>
              </w:txbxContent>
            </v:textbox>
          </v:shape>
        </w:pict>
      </w:r>
    </w:p>
    <w:p w14:paraId="400E14D6" w14:textId="77777777" w:rsidR="00D94BBB" w:rsidRPr="00F855BB" w:rsidRDefault="00D94BBB" w:rsidP="00D94BBB">
      <w:pPr>
        <w:tabs>
          <w:tab w:val="left" w:pos="195"/>
        </w:tabs>
        <w:rPr>
          <w:rFonts w:ascii="Arial Narrow" w:hAnsi="Arial Narrow"/>
          <w:sz w:val="24"/>
          <w:szCs w:val="24"/>
        </w:rPr>
      </w:pPr>
    </w:p>
    <w:p w14:paraId="40CF1CCF" w14:textId="77777777" w:rsidR="00D94BBB" w:rsidRPr="00F855BB" w:rsidRDefault="00D94BBB" w:rsidP="00D94BBB">
      <w:pPr>
        <w:tabs>
          <w:tab w:val="left" w:pos="195"/>
        </w:tabs>
        <w:rPr>
          <w:rFonts w:ascii="Arial Narrow" w:hAnsi="Arial Narrow"/>
          <w:sz w:val="24"/>
          <w:szCs w:val="24"/>
        </w:rPr>
      </w:pPr>
    </w:p>
    <w:p w14:paraId="2D38BB19" w14:textId="77777777" w:rsidR="00D94BBB" w:rsidRPr="00F855BB" w:rsidRDefault="00D94BBB" w:rsidP="00D94BBB">
      <w:pPr>
        <w:tabs>
          <w:tab w:val="left" w:pos="195"/>
        </w:tabs>
        <w:rPr>
          <w:rFonts w:ascii="Arial Narrow" w:hAnsi="Arial Narrow"/>
          <w:sz w:val="24"/>
          <w:szCs w:val="24"/>
        </w:rPr>
      </w:pPr>
    </w:p>
    <w:p w14:paraId="4BC3A40C" w14:textId="77777777" w:rsidR="00D94BBB" w:rsidRPr="00F855BB" w:rsidRDefault="00D94BBB" w:rsidP="00D94BBB">
      <w:pPr>
        <w:tabs>
          <w:tab w:val="left" w:pos="195"/>
        </w:tabs>
        <w:rPr>
          <w:rFonts w:ascii="Arial Narrow" w:hAnsi="Arial Narrow"/>
          <w:sz w:val="24"/>
          <w:szCs w:val="24"/>
        </w:rPr>
      </w:pPr>
    </w:p>
    <w:p w14:paraId="2AAC2A8A" w14:textId="52C0B02E" w:rsidR="00D94BBB" w:rsidRPr="00F855BB" w:rsidRDefault="00D94BBB" w:rsidP="00D94BBB">
      <w:pPr>
        <w:tabs>
          <w:tab w:val="left" w:pos="195"/>
        </w:tabs>
        <w:rPr>
          <w:rFonts w:ascii="Arial Narrow" w:hAnsi="Arial Narrow"/>
          <w:sz w:val="24"/>
          <w:szCs w:val="24"/>
        </w:rPr>
      </w:pPr>
      <w:r w:rsidRPr="00F855BB">
        <w:rPr>
          <w:rFonts w:ascii="Arial Narrow" w:hAnsi="Arial Narrow"/>
          <w:sz w:val="24"/>
          <w:szCs w:val="24"/>
        </w:rPr>
        <w:tab/>
      </w:r>
      <w:r w:rsidR="00413EFE" w:rsidRPr="00413EFE">
        <w:rPr>
          <w:rFonts w:ascii="Arial Narrow" w:hAnsi="Arial Narrow"/>
          <w:noProof/>
          <w:sz w:val="24"/>
          <w:szCs w:val="24"/>
          <w:lang w:eastAsia="fr-FR"/>
        </w:rPr>
        <w:drawing>
          <wp:inline distT="0" distB="0" distL="0" distR="0" wp14:anchorId="676EA6D5" wp14:editId="5385B4EC">
            <wp:extent cx="5760720" cy="3243405"/>
            <wp:effectExtent l="0" t="0" r="0" b="0"/>
            <wp:docPr id="2" name="Image 2" descr="C:\Users\PC\Downloads\WhatsApp Image 2025-05-06 at 1.21.53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wnloads\WhatsApp Image 2025-05-06 at 1.21.53 PM.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3243405"/>
                    </a:xfrm>
                    <a:prstGeom prst="rect">
                      <a:avLst/>
                    </a:prstGeom>
                    <a:noFill/>
                    <a:ln>
                      <a:noFill/>
                    </a:ln>
                  </pic:spPr>
                </pic:pic>
              </a:graphicData>
            </a:graphic>
          </wp:inline>
        </w:drawing>
      </w:r>
    </w:p>
    <w:p w14:paraId="29E8B152" w14:textId="77777777" w:rsidR="00D94BBB" w:rsidRPr="00F855BB" w:rsidRDefault="00D94BBB" w:rsidP="00D94BBB">
      <w:pPr>
        <w:pStyle w:val="BankNormal"/>
        <w:autoSpaceDE/>
        <w:autoSpaceDN/>
        <w:spacing w:after="0" w:line="276" w:lineRule="auto"/>
        <w:jc w:val="center"/>
        <w:rPr>
          <w:rFonts w:ascii="Arial Narrow" w:hAnsi="Arial Narrow"/>
          <w:szCs w:val="24"/>
        </w:rPr>
      </w:pPr>
    </w:p>
    <w:p w14:paraId="6CABA2C0" w14:textId="77777777" w:rsidR="00D94BBB" w:rsidRPr="00F855BB" w:rsidRDefault="00D94BBB" w:rsidP="00413EFE">
      <w:pPr>
        <w:pStyle w:val="BankNormal"/>
        <w:autoSpaceDE/>
        <w:autoSpaceDN/>
        <w:spacing w:after="0" w:line="276" w:lineRule="auto"/>
        <w:rPr>
          <w:rFonts w:ascii="Arial Narrow" w:hAnsi="Arial Narrow" w:cs="Arial"/>
          <w:b/>
          <w:bCs/>
          <w:sz w:val="28"/>
          <w:szCs w:val="24"/>
        </w:rPr>
      </w:pPr>
    </w:p>
    <w:p w14:paraId="0F8F99A9" w14:textId="4CC816E0" w:rsidR="00D94BBB" w:rsidRPr="00F855BB" w:rsidRDefault="00D94BBB" w:rsidP="00D94BBB">
      <w:pPr>
        <w:pStyle w:val="BankNormal"/>
        <w:autoSpaceDE/>
        <w:autoSpaceDN/>
        <w:spacing w:after="0" w:line="276" w:lineRule="auto"/>
        <w:jc w:val="right"/>
        <w:rPr>
          <w:rFonts w:ascii="Arial Narrow" w:hAnsi="Arial Narrow" w:cs="Arial"/>
          <w:b/>
          <w:bCs/>
          <w:i/>
          <w:iCs/>
          <w:sz w:val="28"/>
          <w:szCs w:val="24"/>
        </w:rPr>
      </w:pPr>
      <w:r w:rsidRPr="00F855BB">
        <w:rPr>
          <w:rFonts w:ascii="Arial Narrow" w:hAnsi="Arial Narrow" w:cs="Arial"/>
          <w:b/>
          <w:bCs/>
          <w:i/>
          <w:iCs/>
          <w:sz w:val="28"/>
          <w:szCs w:val="24"/>
        </w:rPr>
        <w:t>Novembre 2024 – Mai 2025</w:t>
      </w:r>
    </w:p>
    <w:p w14:paraId="4FF1F18F" w14:textId="77777777" w:rsidR="0050132C" w:rsidRDefault="0050132C" w:rsidP="0050132C">
      <w:pPr>
        <w:pStyle w:val="BankNormal"/>
        <w:autoSpaceDE/>
        <w:autoSpaceDN/>
        <w:spacing w:after="0" w:line="276" w:lineRule="auto"/>
        <w:rPr>
          <w:rFonts w:ascii="Arial Narrow" w:hAnsi="Arial Narrow" w:cs="Arial"/>
          <w:szCs w:val="24"/>
        </w:rPr>
      </w:pPr>
    </w:p>
    <w:sdt>
      <w:sdtPr>
        <w:rPr>
          <w:rFonts w:ascii="Times New Roman" w:eastAsiaTheme="minorHAnsi" w:hAnsi="Times New Roman" w:cs="Times New Roman"/>
          <w:color w:val="auto"/>
          <w:sz w:val="24"/>
          <w:szCs w:val="24"/>
        </w:rPr>
        <w:id w:val="45265313"/>
        <w:docPartObj>
          <w:docPartGallery w:val="Table of Contents"/>
          <w:docPartUnique/>
        </w:docPartObj>
      </w:sdtPr>
      <w:sdtEndPr>
        <w:rPr>
          <w:b/>
          <w:bCs/>
        </w:rPr>
      </w:sdtEndPr>
      <w:sdtContent>
        <w:p w14:paraId="30438D2F" w14:textId="6435DC82" w:rsidR="0050132C" w:rsidRPr="00994A7B" w:rsidRDefault="0050132C">
          <w:pPr>
            <w:pStyle w:val="En-ttedetabledesmatires"/>
            <w:rPr>
              <w:rFonts w:ascii="Times New Roman" w:hAnsi="Times New Roman" w:cs="Times New Roman"/>
              <w:sz w:val="24"/>
              <w:szCs w:val="24"/>
            </w:rPr>
          </w:pPr>
          <w:r w:rsidRPr="00994A7B">
            <w:rPr>
              <w:rFonts w:ascii="Times New Roman" w:hAnsi="Times New Roman" w:cs="Times New Roman"/>
              <w:sz w:val="24"/>
              <w:szCs w:val="24"/>
            </w:rPr>
            <w:t>Table des matières</w:t>
          </w:r>
        </w:p>
        <w:p w14:paraId="46276B58" w14:textId="01D0A6DF" w:rsidR="00BB234A" w:rsidRPr="00994A7B" w:rsidRDefault="0050132C" w:rsidP="00BB234A">
          <w:pPr>
            <w:pStyle w:val="TM1"/>
            <w:tabs>
              <w:tab w:val="right" w:leader="dot" w:pos="9062"/>
            </w:tabs>
            <w:rPr>
              <w:rFonts w:ascii="Times New Roman" w:eastAsiaTheme="minorEastAsia" w:hAnsi="Times New Roman"/>
              <w:b w:val="0"/>
              <w:bCs w:val="0"/>
              <w:i w:val="0"/>
              <w:iCs w:val="0"/>
              <w:noProof/>
              <w:kern w:val="2"/>
              <w14:ligatures w14:val="standardContextual"/>
            </w:rPr>
          </w:pPr>
          <w:r w:rsidRPr="00994A7B">
            <w:rPr>
              <w:rFonts w:ascii="Times New Roman" w:hAnsi="Times New Roman"/>
            </w:rPr>
            <w:fldChar w:fldCharType="begin"/>
          </w:r>
          <w:r w:rsidRPr="00994A7B">
            <w:rPr>
              <w:rFonts w:ascii="Times New Roman" w:hAnsi="Times New Roman"/>
            </w:rPr>
            <w:instrText xml:space="preserve"> TOC \o "1-3" \h \z \u </w:instrText>
          </w:r>
          <w:r w:rsidRPr="00994A7B">
            <w:rPr>
              <w:rFonts w:ascii="Times New Roman" w:hAnsi="Times New Roman"/>
            </w:rPr>
            <w:fldChar w:fldCharType="separate"/>
          </w:r>
        </w:p>
        <w:p w14:paraId="714DF16C" w14:textId="02A44260" w:rsidR="00BB234A" w:rsidRPr="00994A7B" w:rsidRDefault="00D8263F">
          <w:pPr>
            <w:pStyle w:val="TM1"/>
            <w:tabs>
              <w:tab w:val="right" w:leader="dot" w:pos="9062"/>
            </w:tabs>
            <w:rPr>
              <w:rFonts w:ascii="Times New Roman" w:eastAsiaTheme="minorEastAsia" w:hAnsi="Times New Roman"/>
              <w:b w:val="0"/>
              <w:bCs w:val="0"/>
              <w:i w:val="0"/>
              <w:iCs w:val="0"/>
              <w:noProof/>
              <w:kern w:val="2"/>
              <w14:ligatures w14:val="standardContextual"/>
            </w:rPr>
          </w:pPr>
          <w:hyperlink w:anchor="_Toc197420468" w:history="1">
            <w:r w:rsidR="00BB234A" w:rsidRPr="00994A7B">
              <w:rPr>
                <w:rStyle w:val="Lienhypertexte"/>
                <w:rFonts w:ascii="Times New Roman" w:hAnsi="Times New Roman"/>
                <w:i w:val="0"/>
                <w:iCs w:val="0"/>
                <w:noProof/>
              </w:rPr>
              <w:t>Introduction</w:t>
            </w:r>
            <w:r w:rsidR="00BB234A" w:rsidRPr="00994A7B">
              <w:rPr>
                <w:rFonts w:ascii="Times New Roman" w:hAnsi="Times New Roman"/>
                <w:i w:val="0"/>
                <w:iCs w:val="0"/>
                <w:noProof/>
                <w:webHidden/>
              </w:rPr>
              <w:tab/>
            </w:r>
            <w:r w:rsidR="00BB234A" w:rsidRPr="00994A7B">
              <w:rPr>
                <w:rFonts w:ascii="Times New Roman" w:hAnsi="Times New Roman"/>
                <w:i w:val="0"/>
                <w:iCs w:val="0"/>
                <w:noProof/>
                <w:webHidden/>
              </w:rPr>
              <w:fldChar w:fldCharType="begin"/>
            </w:r>
            <w:r w:rsidR="00BB234A" w:rsidRPr="00994A7B">
              <w:rPr>
                <w:rFonts w:ascii="Times New Roman" w:hAnsi="Times New Roman"/>
                <w:i w:val="0"/>
                <w:iCs w:val="0"/>
                <w:noProof/>
                <w:webHidden/>
              </w:rPr>
              <w:instrText xml:space="preserve"> PAGEREF _Toc197420468 \h </w:instrText>
            </w:r>
            <w:r w:rsidR="00BB234A" w:rsidRPr="00994A7B">
              <w:rPr>
                <w:rFonts w:ascii="Times New Roman" w:hAnsi="Times New Roman"/>
                <w:i w:val="0"/>
                <w:iCs w:val="0"/>
                <w:noProof/>
                <w:webHidden/>
              </w:rPr>
            </w:r>
            <w:r w:rsidR="00BB234A" w:rsidRPr="00994A7B">
              <w:rPr>
                <w:rFonts w:ascii="Times New Roman" w:hAnsi="Times New Roman"/>
                <w:i w:val="0"/>
                <w:iCs w:val="0"/>
                <w:noProof/>
                <w:webHidden/>
              </w:rPr>
              <w:fldChar w:fldCharType="separate"/>
            </w:r>
            <w:r w:rsidR="00BB234A" w:rsidRPr="00994A7B">
              <w:rPr>
                <w:rFonts w:ascii="Times New Roman" w:hAnsi="Times New Roman"/>
                <w:i w:val="0"/>
                <w:iCs w:val="0"/>
                <w:noProof/>
                <w:webHidden/>
              </w:rPr>
              <w:t>3</w:t>
            </w:r>
            <w:r w:rsidR="00BB234A" w:rsidRPr="00994A7B">
              <w:rPr>
                <w:rFonts w:ascii="Times New Roman" w:hAnsi="Times New Roman"/>
                <w:i w:val="0"/>
                <w:iCs w:val="0"/>
                <w:noProof/>
                <w:webHidden/>
              </w:rPr>
              <w:fldChar w:fldCharType="end"/>
            </w:r>
          </w:hyperlink>
        </w:p>
        <w:p w14:paraId="5633AFFF" w14:textId="268F4C14" w:rsidR="00BB234A" w:rsidRPr="00994A7B" w:rsidRDefault="00D8263F">
          <w:pPr>
            <w:pStyle w:val="TM1"/>
            <w:tabs>
              <w:tab w:val="left" w:pos="440"/>
              <w:tab w:val="right" w:leader="dot" w:pos="9062"/>
            </w:tabs>
            <w:rPr>
              <w:rFonts w:ascii="Times New Roman" w:eastAsiaTheme="minorEastAsia" w:hAnsi="Times New Roman"/>
              <w:b w:val="0"/>
              <w:bCs w:val="0"/>
              <w:i w:val="0"/>
              <w:iCs w:val="0"/>
              <w:noProof/>
              <w:kern w:val="2"/>
              <w14:ligatures w14:val="standardContextual"/>
            </w:rPr>
          </w:pPr>
          <w:hyperlink w:anchor="_Toc197420469" w:history="1">
            <w:r w:rsidR="00BB234A" w:rsidRPr="00994A7B">
              <w:rPr>
                <w:rStyle w:val="Lienhypertexte"/>
                <w:rFonts w:ascii="Times New Roman" w:hAnsi="Times New Roman"/>
                <w:i w:val="0"/>
                <w:iCs w:val="0"/>
                <w:noProof/>
              </w:rPr>
              <w:t>1.</w:t>
            </w:r>
            <w:r w:rsidR="00BB234A" w:rsidRPr="00994A7B">
              <w:rPr>
                <w:rFonts w:ascii="Times New Roman" w:eastAsiaTheme="minorEastAsia" w:hAnsi="Times New Roman"/>
                <w:b w:val="0"/>
                <w:bCs w:val="0"/>
                <w:i w:val="0"/>
                <w:iCs w:val="0"/>
                <w:noProof/>
                <w:kern w:val="2"/>
                <w14:ligatures w14:val="standardContextual"/>
              </w:rPr>
              <w:tab/>
            </w:r>
            <w:r w:rsidR="00BB234A" w:rsidRPr="00994A7B">
              <w:rPr>
                <w:rStyle w:val="Lienhypertexte"/>
                <w:rFonts w:ascii="Times New Roman" w:hAnsi="Times New Roman"/>
                <w:i w:val="0"/>
                <w:iCs w:val="0"/>
                <w:noProof/>
              </w:rPr>
              <w:t>Contexte et justification</w:t>
            </w:r>
            <w:r w:rsidR="00BB234A" w:rsidRPr="00994A7B">
              <w:rPr>
                <w:rFonts w:ascii="Times New Roman" w:hAnsi="Times New Roman"/>
                <w:i w:val="0"/>
                <w:iCs w:val="0"/>
                <w:noProof/>
                <w:webHidden/>
              </w:rPr>
              <w:tab/>
            </w:r>
            <w:r w:rsidR="00BB234A" w:rsidRPr="00994A7B">
              <w:rPr>
                <w:rFonts w:ascii="Times New Roman" w:hAnsi="Times New Roman"/>
                <w:i w:val="0"/>
                <w:iCs w:val="0"/>
                <w:noProof/>
                <w:webHidden/>
              </w:rPr>
              <w:fldChar w:fldCharType="begin"/>
            </w:r>
            <w:r w:rsidR="00BB234A" w:rsidRPr="00994A7B">
              <w:rPr>
                <w:rFonts w:ascii="Times New Roman" w:hAnsi="Times New Roman"/>
                <w:i w:val="0"/>
                <w:iCs w:val="0"/>
                <w:noProof/>
                <w:webHidden/>
              </w:rPr>
              <w:instrText xml:space="preserve"> PAGEREF _Toc197420469 \h </w:instrText>
            </w:r>
            <w:r w:rsidR="00BB234A" w:rsidRPr="00994A7B">
              <w:rPr>
                <w:rFonts w:ascii="Times New Roman" w:hAnsi="Times New Roman"/>
                <w:i w:val="0"/>
                <w:iCs w:val="0"/>
                <w:noProof/>
                <w:webHidden/>
              </w:rPr>
            </w:r>
            <w:r w:rsidR="00BB234A" w:rsidRPr="00994A7B">
              <w:rPr>
                <w:rFonts w:ascii="Times New Roman" w:hAnsi="Times New Roman"/>
                <w:i w:val="0"/>
                <w:iCs w:val="0"/>
                <w:noProof/>
                <w:webHidden/>
              </w:rPr>
              <w:fldChar w:fldCharType="separate"/>
            </w:r>
            <w:r w:rsidR="00BB234A" w:rsidRPr="00994A7B">
              <w:rPr>
                <w:rFonts w:ascii="Times New Roman" w:hAnsi="Times New Roman"/>
                <w:i w:val="0"/>
                <w:iCs w:val="0"/>
                <w:noProof/>
                <w:webHidden/>
              </w:rPr>
              <w:t>4</w:t>
            </w:r>
            <w:r w:rsidR="00BB234A" w:rsidRPr="00994A7B">
              <w:rPr>
                <w:rFonts w:ascii="Times New Roman" w:hAnsi="Times New Roman"/>
                <w:i w:val="0"/>
                <w:iCs w:val="0"/>
                <w:noProof/>
                <w:webHidden/>
              </w:rPr>
              <w:fldChar w:fldCharType="end"/>
            </w:r>
          </w:hyperlink>
        </w:p>
        <w:p w14:paraId="17F3BBE8" w14:textId="0766296F" w:rsidR="00BB234A" w:rsidRPr="00994A7B" w:rsidRDefault="00D8263F">
          <w:pPr>
            <w:pStyle w:val="TM1"/>
            <w:tabs>
              <w:tab w:val="left" w:pos="440"/>
              <w:tab w:val="right" w:leader="dot" w:pos="9062"/>
            </w:tabs>
            <w:rPr>
              <w:rFonts w:ascii="Times New Roman" w:eastAsiaTheme="minorEastAsia" w:hAnsi="Times New Roman"/>
              <w:b w:val="0"/>
              <w:bCs w:val="0"/>
              <w:i w:val="0"/>
              <w:iCs w:val="0"/>
              <w:noProof/>
              <w:kern w:val="2"/>
              <w14:ligatures w14:val="standardContextual"/>
            </w:rPr>
          </w:pPr>
          <w:hyperlink w:anchor="_Toc197420470" w:history="1">
            <w:r w:rsidR="00BB234A" w:rsidRPr="00994A7B">
              <w:rPr>
                <w:rStyle w:val="Lienhypertexte"/>
                <w:rFonts w:ascii="Times New Roman" w:hAnsi="Times New Roman"/>
                <w:i w:val="0"/>
                <w:iCs w:val="0"/>
                <w:noProof/>
              </w:rPr>
              <w:t>2.</w:t>
            </w:r>
            <w:r w:rsidR="00BB234A" w:rsidRPr="00994A7B">
              <w:rPr>
                <w:rFonts w:ascii="Times New Roman" w:eastAsiaTheme="minorEastAsia" w:hAnsi="Times New Roman"/>
                <w:b w:val="0"/>
                <w:bCs w:val="0"/>
                <w:i w:val="0"/>
                <w:iCs w:val="0"/>
                <w:noProof/>
                <w:kern w:val="2"/>
                <w14:ligatures w14:val="standardContextual"/>
              </w:rPr>
              <w:tab/>
            </w:r>
            <w:r w:rsidR="00BB234A" w:rsidRPr="00994A7B">
              <w:rPr>
                <w:rStyle w:val="Lienhypertexte"/>
                <w:rFonts w:ascii="Times New Roman" w:hAnsi="Times New Roman"/>
                <w:i w:val="0"/>
                <w:iCs w:val="0"/>
                <w:noProof/>
              </w:rPr>
              <w:t>Objectifs et résultats escomptés</w:t>
            </w:r>
            <w:r w:rsidR="00BB234A" w:rsidRPr="00994A7B">
              <w:rPr>
                <w:rFonts w:ascii="Times New Roman" w:hAnsi="Times New Roman"/>
                <w:i w:val="0"/>
                <w:iCs w:val="0"/>
                <w:noProof/>
                <w:webHidden/>
              </w:rPr>
              <w:tab/>
            </w:r>
            <w:r w:rsidR="00BB234A" w:rsidRPr="00994A7B">
              <w:rPr>
                <w:rFonts w:ascii="Times New Roman" w:hAnsi="Times New Roman"/>
                <w:i w:val="0"/>
                <w:iCs w:val="0"/>
                <w:noProof/>
                <w:webHidden/>
              </w:rPr>
              <w:fldChar w:fldCharType="begin"/>
            </w:r>
            <w:r w:rsidR="00BB234A" w:rsidRPr="00994A7B">
              <w:rPr>
                <w:rFonts w:ascii="Times New Roman" w:hAnsi="Times New Roman"/>
                <w:i w:val="0"/>
                <w:iCs w:val="0"/>
                <w:noProof/>
                <w:webHidden/>
              </w:rPr>
              <w:instrText xml:space="preserve"> PAGEREF _Toc197420470 \h </w:instrText>
            </w:r>
            <w:r w:rsidR="00BB234A" w:rsidRPr="00994A7B">
              <w:rPr>
                <w:rFonts w:ascii="Times New Roman" w:hAnsi="Times New Roman"/>
                <w:i w:val="0"/>
                <w:iCs w:val="0"/>
                <w:noProof/>
                <w:webHidden/>
              </w:rPr>
            </w:r>
            <w:r w:rsidR="00BB234A" w:rsidRPr="00994A7B">
              <w:rPr>
                <w:rFonts w:ascii="Times New Roman" w:hAnsi="Times New Roman"/>
                <w:i w:val="0"/>
                <w:iCs w:val="0"/>
                <w:noProof/>
                <w:webHidden/>
              </w:rPr>
              <w:fldChar w:fldCharType="separate"/>
            </w:r>
            <w:r w:rsidR="00BB234A" w:rsidRPr="00994A7B">
              <w:rPr>
                <w:rFonts w:ascii="Times New Roman" w:hAnsi="Times New Roman"/>
                <w:i w:val="0"/>
                <w:iCs w:val="0"/>
                <w:noProof/>
                <w:webHidden/>
              </w:rPr>
              <w:t>4</w:t>
            </w:r>
            <w:r w:rsidR="00BB234A" w:rsidRPr="00994A7B">
              <w:rPr>
                <w:rFonts w:ascii="Times New Roman" w:hAnsi="Times New Roman"/>
                <w:i w:val="0"/>
                <w:iCs w:val="0"/>
                <w:noProof/>
                <w:webHidden/>
              </w:rPr>
              <w:fldChar w:fldCharType="end"/>
            </w:r>
          </w:hyperlink>
        </w:p>
        <w:p w14:paraId="7C7C66D4" w14:textId="4BFD64BC" w:rsidR="00BB234A" w:rsidRPr="00994A7B" w:rsidRDefault="00D8263F">
          <w:pPr>
            <w:pStyle w:val="TM2"/>
            <w:tabs>
              <w:tab w:val="left" w:pos="960"/>
              <w:tab w:val="right" w:leader="dot" w:pos="9062"/>
            </w:tabs>
            <w:rPr>
              <w:rFonts w:ascii="Times New Roman" w:eastAsiaTheme="minorEastAsia" w:hAnsi="Times New Roman"/>
              <w:b w:val="0"/>
              <w:bCs w:val="0"/>
              <w:noProof/>
              <w:kern w:val="2"/>
              <w:sz w:val="24"/>
              <w:szCs w:val="24"/>
              <w14:ligatures w14:val="standardContextual"/>
            </w:rPr>
          </w:pPr>
          <w:hyperlink w:anchor="_Toc197420471" w:history="1">
            <w:r w:rsidR="00BB234A" w:rsidRPr="00994A7B">
              <w:rPr>
                <w:rStyle w:val="Lienhypertexte"/>
                <w:rFonts w:ascii="Times New Roman" w:hAnsi="Times New Roman"/>
                <w:noProof/>
                <w:sz w:val="24"/>
                <w:szCs w:val="24"/>
              </w:rPr>
              <w:t>2.1.</w:t>
            </w:r>
            <w:r w:rsidR="00BB234A" w:rsidRPr="00994A7B">
              <w:rPr>
                <w:rFonts w:ascii="Times New Roman" w:eastAsiaTheme="minorEastAsia" w:hAnsi="Times New Roman"/>
                <w:b w:val="0"/>
                <w:bCs w:val="0"/>
                <w:noProof/>
                <w:kern w:val="2"/>
                <w:sz w:val="24"/>
                <w:szCs w:val="24"/>
                <w14:ligatures w14:val="standardContextual"/>
              </w:rPr>
              <w:tab/>
            </w:r>
            <w:r w:rsidR="00BB234A" w:rsidRPr="00994A7B">
              <w:rPr>
                <w:rStyle w:val="Lienhypertexte"/>
                <w:rFonts w:ascii="Times New Roman" w:hAnsi="Times New Roman"/>
                <w:noProof/>
                <w:sz w:val="24"/>
                <w:szCs w:val="24"/>
              </w:rPr>
              <w:t>Objectif général</w:t>
            </w:r>
            <w:r w:rsidR="00BB234A" w:rsidRPr="00994A7B">
              <w:rPr>
                <w:rFonts w:ascii="Times New Roman" w:hAnsi="Times New Roman"/>
                <w:noProof/>
                <w:webHidden/>
                <w:sz w:val="24"/>
                <w:szCs w:val="24"/>
              </w:rPr>
              <w:tab/>
            </w:r>
            <w:r w:rsidR="00BB234A" w:rsidRPr="00994A7B">
              <w:rPr>
                <w:rFonts w:ascii="Times New Roman" w:hAnsi="Times New Roman"/>
                <w:noProof/>
                <w:webHidden/>
                <w:sz w:val="24"/>
                <w:szCs w:val="24"/>
              </w:rPr>
              <w:fldChar w:fldCharType="begin"/>
            </w:r>
            <w:r w:rsidR="00BB234A" w:rsidRPr="00994A7B">
              <w:rPr>
                <w:rFonts w:ascii="Times New Roman" w:hAnsi="Times New Roman"/>
                <w:noProof/>
                <w:webHidden/>
                <w:sz w:val="24"/>
                <w:szCs w:val="24"/>
              </w:rPr>
              <w:instrText xml:space="preserve"> PAGEREF _Toc197420471 \h </w:instrText>
            </w:r>
            <w:r w:rsidR="00BB234A" w:rsidRPr="00994A7B">
              <w:rPr>
                <w:rFonts w:ascii="Times New Roman" w:hAnsi="Times New Roman"/>
                <w:noProof/>
                <w:webHidden/>
                <w:sz w:val="24"/>
                <w:szCs w:val="24"/>
              </w:rPr>
            </w:r>
            <w:r w:rsidR="00BB234A" w:rsidRPr="00994A7B">
              <w:rPr>
                <w:rFonts w:ascii="Times New Roman" w:hAnsi="Times New Roman"/>
                <w:noProof/>
                <w:webHidden/>
                <w:sz w:val="24"/>
                <w:szCs w:val="24"/>
              </w:rPr>
              <w:fldChar w:fldCharType="separate"/>
            </w:r>
            <w:r w:rsidR="00BB234A" w:rsidRPr="00994A7B">
              <w:rPr>
                <w:rFonts w:ascii="Times New Roman" w:hAnsi="Times New Roman"/>
                <w:noProof/>
                <w:webHidden/>
                <w:sz w:val="24"/>
                <w:szCs w:val="24"/>
              </w:rPr>
              <w:t>4</w:t>
            </w:r>
            <w:r w:rsidR="00BB234A" w:rsidRPr="00994A7B">
              <w:rPr>
                <w:rFonts w:ascii="Times New Roman" w:hAnsi="Times New Roman"/>
                <w:noProof/>
                <w:webHidden/>
                <w:sz w:val="24"/>
                <w:szCs w:val="24"/>
              </w:rPr>
              <w:fldChar w:fldCharType="end"/>
            </w:r>
          </w:hyperlink>
        </w:p>
        <w:p w14:paraId="4B81D205" w14:textId="1B7CD6B8" w:rsidR="00BB234A" w:rsidRPr="00994A7B" w:rsidRDefault="00D8263F">
          <w:pPr>
            <w:pStyle w:val="TM2"/>
            <w:tabs>
              <w:tab w:val="left" w:pos="960"/>
              <w:tab w:val="right" w:leader="dot" w:pos="9062"/>
            </w:tabs>
            <w:rPr>
              <w:rFonts w:ascii="Times New Roman" w:eastAsiaTheme="minorEastAsia" w:hAnsi="Times New Roman"/>
              <w:b w:val="0"/>
              <w:bCs w:val="0"/>
              <w:noProof/>
              <w:kern w:val="2"/>
              <w:sz w:val="24"/>
              <w:szCs w:val="24"/>
              <w14:ligatures w14:val="standardContextual"/>
            </w:rPr>
          </w:pPr>
          <w:hyperlink w:anchor="_Toc197420472" w:history="1">
            <w:r w:rsidR="00BB234A" w:rsidRPr="00994A7B">
              <w:rPr>
                <w:rStyle w:val="Lienhypertexte"/>
                <w:rFonts w:ascii="Times New Roman" w:hAnsi="Times New Roman"/>
                <w:noProof/>
                <w:sz w:val="24"/>
                <w:szCs w:val="24"/>
              </w:rPr>
              <w:t>2.2.</w:t>
            </w:r>
            <w:r w:rsidR="00BB234A" w:rsidRPr="00994A7B">
              <w:rPr>
                <w:rFonts w:ascii="Times New Roman" w:eastAsiaTheme="minorEastAsia" w:hAnsi="Times New Roman"/>
                <w:b w:val="0"/>
                <w:bCs w:val="0"/>
                <w:noProof/>
                <w:kern w:val="2"/>
                <w:sz w:val="24"/>
                <w:szCs w:val="24"/>
                <w14:ligatures w14:val="standardContextual"/>
              </w:rPr>
              <w:tab/>
            </w:r>
            <w:r w:rsidR="00BB234A" w:rsidRPr="00994A7B">
              <w:rPr>
                <w:rStyle w:val="Lienhypertexte"/>
                <w:rFonts w:ascii="Times New Roman" w:hAnsi="Times New Roman"/>
                <w:noProof/>
                <w:sz w:val="24"/>
                <w:szCs w:val="24"/>
              </w:rPr>
              <w:t>Objectifs spécifiques</w:t>
            </w:r>
            <w:r w:rsidR="00BB234A" w:rsidRPr="00994A7B">
              <w:rPr>
                <w:rFonts w:ascii="Times New Roman" w:hAnsi="Times New Roman"/>
                <w:noProof/>
                <w:webHidden/>
                <w:sz w:val="24"/>
                <w:szCs w:val="24"/>
              </w:rPr>
              <w:tab/>
            </w:r>
            <w:r w:rsidR="00BB234A" w:rsidRPr="00994A7B">
              <w:rPr>
                <w:rFonts w:ascii="Times New Roman" w:hAnsi="Times New Roman"/>
                <w:noProof/>
                <w:webHidden/>
                <w:sz w:val="24"/>
                <w:szCs w:val="24"/>
              </w:rPr>
              <w:fldChar w:fldCharType="begin"/>
            </w:r>
            <w:r w:rsidR="00BB234A" w:rsidRPr="00994A7B">
              <w:rPr>
                <w:rFonts w:ascii="Times New Roman" w:hAnsi="Times New Roman"/>
                <w:noProof/>
                <w:webHidden/>
                <w:sz w:val="24"/>
                <w:szCs w:val="24"/>
              </w:rPr>
              <w:instrText xml:space="preserve"> PAGEREF _Toc197420472 \h </w:instrText>
            </w:r>
            <w:r w:rsidR="00BB234A" w:rsidRPr="00994A7B">
              <w:rPr>
                <w:rFonts w:ascii="Times New Roman" w:hAnsi="Times New Roman"/>
                <w:noProof/>
                <w:webHidden/>
                <w:sz w:val="24"/>
                <w:szCs w:val="24"/>
              </w:rPr>
            </w:r>
            <w:r w:rsidR="00BB234A" w:rsidRPr="00994A7B">
              <w:rPr>
                <w:rFonts w:ascii="Times New Roman" w:hAnsi="Times New Roman"/>
                <w:noProof/>
                <w:webHidden/>
                <w:sz w:val="24"/>
                <w:szCs w:val="24"/>
              </w:rPr>
              <w:fldChar w:fldCharType="separate"/>
            </w:r>
            <w:r w:rsidR="00BB234A" w:rsidRPr="00994A7B">
              <w:rPr>
                <w:rFonts w:ascii="Times New Roman" w:hAnsi="Times New Roman"/>
                <w:noProof/>
                <w:webHidden/>
                <w:sz w:val="24"/>
                <w:szCs w:val="24"/>
              </w:rPr>
              <w:t>4</w:t>
            </w:r>
            <w:r w:rsidR="00BB234A" w:rsidRPr="00994A7B">
              <w:rPr>
                <w:rFonts w:ascii="Times New Roman" w:hAnsi="Times New Roman"/>
                <w:noProof/>
                <w:webHidden/>
                <w:sz w:val="24"/>
                <w:szCs w:val="24"/>
              </w:rPr>
              <w:fldChar w:fldCharType="end"/>
            </w:r>
          </w:hyperlink>
        </w:p>
        <w:p w14:paraId="4E62DF29" w14:textId="4A2FC104" w:rsidR="00BB234A" w:rsidRPr="00994A7B" w:rsidRDefault="00D8263F">
          <w:pPr>
            <w:pStyle w:val="TM1"/>
            <w:tabs>
              <w:tab w:val="left" w:pos="440"/>
              <w:tab w:val="right" w:leader="dot" w:pos="9062"/>
            </w:tabs>
            <w:rPr>
              <w:rFonts w:ascii="Times New Roman" w:eastAsiaTheme="minorEastAsia" w:hAnsi="Times New Roman"/>
              <w:b w:val="0"/>
              <w:bCs w:val="0"/>
              <w:i w:val="0"/>
              <w:iCs w:val="0"/>
              <w:noProof/>
              <w:kern w:val="2"/>
              <w14:ligatures w14:val="standardContextual"/>
            </w:rPr>
          </w:pPr>
          <w:hyperlink w:anchor="_Toc197420473" w:history="1">
            <w:r w:rsidR="00BB234A" w:rsidRPr="00994A7B">
              <w:rPr>
                <w:rStyle w:val="Lienhypertexte"/>
                <w:rFonts w:ascii="Times New Roman" w:hAnsi="Times New Roman"/>
                <w:noProof/>
              </w:rPr>
              <w:t>3.</w:t>
            </w:r>
            <w:r w:rsidR="00BB234A" w:rsidRPr="00994A7B">
              <w:rPr>
                <w:rFonts w:ascii="Times New Roman" w:eastAsiaTheme="minorEastAsia" w:hAnsi="Times New Roman"/>
                <w:b w:val="0"/>
                <w:bCs w:val="0"/>
                <w:i w:val="0"/>
                <w:iCs w:val="0"/>
                <w:noProof/>
                <w:kern w:val="2"/>
                <w14:ligatures w14:val="standardContextual"/>
              </w:rPr>
              <w:tab/>
            </w:r>
            <w:r w:rsidR="00BB234A" w:rsidRPr="00994A7B">
              <w:rPr>
                <w:rStyle w:val="Lienhypertexte"/>
                <w:rFonts w:ascii="Times New Roman" w:hAnsi="Times New Roman"/>
                <w:noProof/>
              </w:rPr>
              <w:t>Déroulement de la formation</w:t>
            </w:r>
            <w:r w:rsidR="00BB234A" w:rsidRPr="00994A7B">
              <w:rPr>
                <w:rFonts w:ascii="Times New Roman" w:hAnsi="Times New Roman"/>
                <w:noProof/>
                <w:webHidden/>
              </w:rPr>
              <w:tab/>
            </w:r>
            <w:r w:rsidR="00BB234A" w:rsidRPr="00994A7B">
              <w:rPr>
                <w:rFonts w:ascii="Times New Roman" w:hAnsi="Times New Roman"/>
                <w:noProof/>
                <w:webHidden/>
              </w:rPr>
              <w:fldChar w:fldCharType="begin"/>
            </w:r>
            <w:r w:rsidR="00BB234A" w:rsidRPr="00994A7B">
              <w:rPr>
                <w:rFonts w:ascii="Times New Roman" w:hAnsi="Times New Roman"/>
                <w:noProof/>
                <w:webHidden/>
              </w:rPr>
              <w:instrText xml:space="preserve"> PAGEREF _Toc197420473 \h </w:instrText>
            </w:r>
            <w:r w:rsidR="00BB234A" w:rsidRPr="00994A7B">
              <w:rPr>
                <w:rFonts w:ascii="Times New Roman" w:hAnsi="Times New Roman"/>
                <w:noProof/>
                <w:webHidden/>
              </w:rPr>
            </w:r>
            <w:r w:rsidR="00BB234A" w:rsidRPr="00994A7B">
              <w:rPr>
                <w:rFonts w:ascii="Times New Roman" w:hAnsi="Times New Roman"/>
                <w:noProof/>
                <w:webHidden/>
              </w:rPr>
              <w:fldChar w:fldCharType="separate"/>
            </w:r>
            <w:r w:rsidR="00BB234A" w:rsidRPr="00994A7B">
              <w:rPr>
                <w:rFonts w:ascii="Times New Roman" w:hAnsi="Times New Roman"/>
                <w:noProof/>
                <w:webHidden/>
              </w:rPr>
              <w:t>5</w:t>
            </w:r>
            <w:r w:rsidR="00BB234A" w:rsidRPr="00994A7B">
              <w:rPr>
                <w:rFonts w:ascii="Times New Roman" w:hAnsi="Times New Roman"/>
                <w:noProof/>
                <w:webHidden/>
              </w:rPr>
              <w:fldChar w:fldCharType="end"/>
            </w:r>
          </w:hyperlink>
        </w:p>
        <w:p w14:paraId="4217FD76" w14:textId="5DF4E677" w:rsidR="00BB234A" w:rsidRPr="00994A7B" w:rsidRDefault="00D8263F">
          <w:pPr>
            <w:pStyle w:val="TM2"/>
            <w:tabs>
              <w:tab w:val="left" w:pos="960"/>
              <w:tab w:val="right" w:leader="dot" w:pos="9062"/>
            </w:tabs>
            <w:rPr>
              <w:rFonts w:ascii="Times New Roman" w:eastAsiaTheme="minorEastAsia" w:hAnsi="Times New Roman"/>
              <w:b w:val="0"/>
              <w:bCs w:val="0"/>
              <w:noProof/>
              <w:kern w:val="2"/>
              <w:sz w:val="24"/>
              <w:szCs w:val="24"/>
              <w14:ligatures w14:val="standardContextual"/>
            </w:rPr>
          </w:pPr>
          <w:hyperlink w:anchor="_Toc197420474" w:history="1">
            <w:r w:rsidR="00BB234A" w:rsidRPr="00994A7B">
              <w:rPr>
                <w:rStyle w:val="Lienhypertexte"/>
                <w:rFonts w:ascii="Times New Roman" w:hAnsi="Times New Roman"/>
                <w:noProof/>
                <w:sz w:val="24"/>
                <w:szCs w:val="24"/>
              </w:rPr>
              <w:t>3.1.</w:t>
            </w:r>
            <w:r w:rsidR="00BB234A" w:rsidRPr="00994A7B">
              <w:rPr>
                <w:rFonts w:ascii="Times New Roman" w:eastAsiaTheme="minorEastAsia" w:hAnsi="Times New Roman"/>
                <w:b w:val="0"/>
                <w:bCs w:val="0"/>
                <w:noProof/>
                <w:kern w:val="2"/>
                <w:sz w:val="24"/>
                <w:szCs w:val="24"/>
                <w14:ligatures w14:val="standardContextual"/>
              </w:rPr>
              <w:tab/>
            </w:r>
            <w:r w:rsidR="00BB234A" w:rsidRPr="00994A7B">
              <w:rPr>
                <w:rStyle w:val="Lienhypertexte"/>
                <w:rFonts w:ascii="Times New Roman" w:hAnsi="Times New Roman"/>
                <w:noProof/>
                <w:sz w:val="24"/>
                <w:szCs w:val="24"/>
              </w:rPr>
              <w:t>Contenu de la formation</w:t>
            </w:r>
            <w:r w:rsidR="00BB234A" w:rsidRPr="00994A7B">
              <w:rPr>
                <w:rFonts w:ascii="Times New Roman" w:hAnsi="Times New Roman"/>
                <w:noProof/>
                <w:webHidden/>
                <w:sz w:val="24"/>
                <w:szCs w:val="24"/>
              </w:rPr>
              <w:tab/>
            </w:r>
            <w:r w:rsidR="00BB234A" w:rsidRPr="00994A7B">
              <w:rPr>
                <w:rFonts w:ascii="Times New Roman" w:hAnsi="Times New Roman"/>
                <w:noProof/>
                <w:webHidden/>
                <w:sz w:val="24"/>
                <w:szCs w:val="24"/>
              </w:rPr>
              <w:fldChar w:fldCharType="begin"/>
            </w:r>
            <w:r w:rsidR="00BB234A" w:rsidRPr="00994A7B">
              <w:rPr>
                <w:rFonts w:ascii="Times New Roman" w:hAnsi="Times New Roman"/>
                <w:noProof/>
                <w:webHidden/>
                <w:sz w:val="24"/>
                <w:szCs w:val="24"/>
              </w:rPr>
              <w:instrText xml:space="preserve"> PAGEREF _Toc197420474 \h </w:instrText>
            </w:r>
            <w:r w:rsidR="00BB234A" w:rsidRPr="00994A7B">
              <w:rPr>
                <w:rFonts w:ascii="Times New Roman" w:hAnsi="Times New Roman"/>
                <w:noProof/>
                <w:webHidden/>
                <w:sz w:val="24"/>
                <w:szCs w:val="24"/>
              </w:rPr>
            </w:r>
            <w:r w:rsidR="00BB234A" w:rsidRPr="00994A7B">
              <w:rPr>
                <w:rFonts w:ascii="Times New Roman" w:hAnsi="Times New Roman"/>
                <w:noProof/>
                <w:webHidden/>
                <w:sz w:val="24"/>
                <w:szCs w:val="24"/>
              </w:rPr>
              <w:fldChar w:fldCharType="separate"/>
            </w:r>
            <w:r w:rsidR="00BB234A" w:rsidRPr="00994A7B">
              <w:rPr>
                <w:rFonts w:ascii="Times New Roman" w:hAnsi="Times New Roman"/>
                <w:noProof/>
                <w:webHidden/>
                <w:sz w:val="24"/>
                <w:szCs w:val="24"/>
              </w:rPr>
              <w:t>5</w:t>
            </w:r>
            <w:r w:rsidR="00BB234A" w:rsidRPr="00994A7B">
              <w:rPr>
                <w:rFonts w:ascii="Times New Roman" w:hAnsi="Times New Roman"/>
                <w:noProof/>
                <w:webHidden/>
                <w:sz w:val="24"/>
                <w:szCs w:val="24"/>
              </w:rPr>
              <w:fldChar w:fldCharType="end"/>
            </w:r>
          </w:hyperlink>
        </w:p>
        <w:p w14:paraId="2D638257" w14:textId="4EDEEF41" w:rsidR="00BB234A" w:rsidRPr="00994A7B" w:rsidRDefault="00D8263F">
          <w:pPr>
            <w:pStyle w:val="TM3"/>
            <w:tabs>
              <w:tab w:val="right" w:leader="dot" w:pos="9062"/>
            </w:tabs>
            <w:rPr>
              <w:rFonts w:ascii="Times New Roman" w:eastAsiaTheme="minorEastAsia" w:hAnsi="Times New Roman"/>
              <w:noProof/>
              <w:kern w:val="2"/>
              <w:sz w:val="24"/>
              <w:szCs w:val="24"/>
              <w14:ligatures w14:val="standardContextual"/>
            </w:rPr>
          </w:pPr>
          <w:hyperlink w:anchor="_Toc197420475" w:history="1">
            <w:r w:rsidR="00BB234A" w:rsidRPr="00994A7B">
              <w:rPr>
                <w:rStyle w:val="Lienhypertexte"/>
                <w:rFonts w:ascii="Times New Roman" w:eastAsiaTheme="minorHAnsi" w:hAnsi="Times New Roman"/>
                <w:b/>
                <w:bCs/>
                <w:noProof/>
                <w:sz w:val="24"/>
                <w:szCs w:val="24"/>
              </w:rPr>
              <w:t>3.1.1 Le passage de la C4D à la SBC (Shift)</w:t>
            </w:r>
            <w:r w:rsidR="00BB234A" w:rsidRPr="00994A7B">
              <w:rPr>
                <w:rFonts w:ascii="Times New Roman" w:hAnsi="Times New Roman"/>
                <w:noProof/>
                <w:webHidden/>
                <w:sz w:val="24"/>
                <w:szCs w:val="24"/>
              </w:rPr>
              <w:tab/>
            </w:r>
            <w:r w:rsidR="00BB234A" w:rsidRPr="00994A7B">
              <w:rPr>
                <w:rFonts w:ascii="Times New Roman" w:hAnsi="Times New Roman"/>
                <w:noProof/>
                <w:webHidden/>
                <w:sz w:val="24"/>
                <w:szCs w:val="24"/>
              </w:rPr>
              <w:fldChar w:fldCharType="begin"/>
            </w:r>
            <w:r w:rsidR="00BB234A" w:rsidRPr="00994A7B">
              <w:rPr>
                <w:rFonts w:ascii="Times New Roman" w:hAnsi="Times New Roman"/>
                <w:noProof/>
                <w:webHidden/>
                <w:sz w:val="24"/>
                <w:szCs w:val="24"/>
              </w:rPr>
              <w:instrText xml:space="preserve"> PAGEREF _Toc197420475 \h </w:instrText>
            </w:r>
            <w:r w:rsidR="00BB234A" w:rsidRPr="00994A7B">
              <w:rPr>
                <w:rFonts w:ascii="Times New Roman" w:hAnsi="Times New Roman"/>
                <w:noProof/>
                <w:webHidden/>
                <w:sz w:val="24"/>
                <w:szCs w:val="24"/>
              </w:rPr>
            </w:r>
            <w:r w:rsidR="00BB234A" w:rsidRPr="00994A7B">
              <w:rPr>
                <w:rFonts w:ascii="Times New Roman" w:hAnsi="Times New Roman"/>
                <w:noProof/>
                <w:webHidden/>
                <w:sz w:val="24"/>
                <w:szCs w:val="24"/>
              </w:rPr>
              <w:fldChar w:fldCharType="separate"/>
            </w:r>
            <w:r w:rsidR="00BB234A" w:rsidRPr="00994A7B">
              <w:rPr>
                <w:rFonts w:ascii="Times New Roman" w:hAnsi="Times New Roman"/>
                <w:noProof/>
                <w:webHidden/>
                <w:sz w:val="24"/>
                <w:szCs w:val="24"/>
              </w:rPr>
              <w:t>5</w:t>
            </w:r>
            <w:r w:rsidR="00BB234A" w:rsidRPr="00994A7B">
              <w:rPr>
                <w:rFonts w:ascii="Times New Roman" w:hAnsi="Times New Roman"/>
                <w:noProof/>
                <w:webHidden/>
                <w:sz w:val="24"/>
                <w:szCs w:val="24"/>
              </w:rPr>
              <w:fldChar w:fldCharType="end"/>
            </w:r>
          </w:hyperlink>
        </w:p>
        <w:p w14:paraId="5D8C21B7" w14:textId="242F2B29" w:rsidR="00BB234A" w:rsidRPr="00994A7B" w:rsidRDefault="00D8263F">
          <w:pPr>
            <w:pStyle w:val="TM3"/>
            <w:tabs>
              <w:tab w:val="right" w:leader="dot" w:pos="9062"/>
            </w:tabs>
            <w:rPr>
              <w:rFonts w:ascii="Times New Roman" w:eastAsiaTheme="minorEastAsia" w:hAnsi="Times New Roman"/>
              <w:noProof/>
              <w:kern w:val="2"/>
              <w:sz w:val="24"/>
              <w:szCs w:val="24"/>
              <w14:ligatures w14:val="standardContextual"/>
            </w:rPr>
          </w:pPr>
          <w:hyperlink w:anchor="_Toc197420476" w:history="1">
            <w:r w:rsidR="00BB234A" w:rsidRPr="00994A7B">
              <w:rPr>
                <w:rStyle w:val="Lienhypertexte"/>
                <w:rFonts w:ascii="Times New Roman" w:eastAsiaTheme="minorHAnsi" w:hAnsi="Times New Roman"/>
                <w:b/>
                <w:bCs/>
                <w:noProof/>
                <w:sz w:val="24"/>
                <w:szCs w:val="24"/>
              </w:rPr>
              <w:t>3.1.2 L’Approche Centrée sur l’Humain et la Ludification</w:t>
            </w:r>
            <w:r w:rsidR="00BB234A" w:rsidRPr="00994A7B">
              <w:rPr>
                <w:rFonts w:ascii="Times New Roman" w:hAnsi="Times New Roman"/>
                <w:noProof/>
                <w:webHidden/>
                <w:sz w:val="24"/>
                <w:szCs w:val="24"/>
              </w:rPr>
              <w:tab/>
            </w:r>
            <w:r w:rsidR="00BB234A" w:rsidRPr="00994A7B">
              <w:rPr>
                <w:rFonts w:ascii="Times New Roman" w:hAnsi="Times New Roman"/>
                <w:noProof/>
                <w:webHidden/>
                <w:sz w:val="24"/>
                <w:szCs w:val="24"/>
              </w:rPr>
              <w:fldChar w:fldCharType="begin"/>
            </w:r>
            <w:r w:rsidR="00BB234A" w:rsidRPr="00994A7B">
              <w:rPr>
                <w:rFonts w:ascii="Times New Roman" w:hAnsi="Times New Roman"/>
                <w:noProof/>
                <w:webHidden/>
                <w:sz w:val="24"/>
                <w:szCs w:val="24"/>
              </w:rPr>
              <w:instrText xml:space="preserve"> PAGEREF _Toc197420476 \h </w:instrText>
            </w:r>
            <w:r w:rsidR="00BB234A" w:rsidRPr="00994A7B">
              <w:rPr>
                <w:rFonts w:ascii="Times New Roman" w:hAnsi="Times New Roman"/>
                <w:noProof/>
                <w:webHidden/>
                <w:sz w:val="24"/>
                <w:szCs w:val="24"/>
              </w:rPr>
            </w:r>
            <w:r w:rsidR="00BB234A" w:rsidRPr="00994A7B">
              <w:rPr>
                <w:rFonts w:ascii="Times New Roman" w:hAnsi="Times New Roman"/>
                <w:noProof/>
                <w:webHidden/>
                <w:sz w:val="24"/>
                <w:szCs w:val="24"/>
              </w:rPr>
              <w:fldChar w:fldCharType="separate"/>
            </w:r>
            <w:r w:rsidR="00BB234A" w:rsidRPr="00994A7B">
              <w:rPr>
                <w:rFonts w:ascii="Times New Roman" w:hAnsi="Times New Roman"/>
                <w:noProof/>
                <w:webHidden/>
                <w:sz w:val="24"/>
                <w:szCs w:val="24"/>
              </w:rPr>
              <w:t>6</w:t>
            </w:r>
            <w:r w:rsidR="00BB234A" w:rsidRPr="00994A7B">
              <w:rPr>
                <w:rFonts w:ascii="Times New Roman" w:hAnsi="Times New Roman"/>
                <w:noProof/>
                <w:webHidden/>
                <w:sz w:val="24"/>
                <w:szCs w:val="24"/>
              </w:rPr>
              <w:fldChar w:fldCharType="end"/>
            </w:r>
          </w:hyperlink>
        </w:p>
        <w:p w14:paraId="63F648B6" w14:textId="05094674" w:rsidR="00BB234A" w:rsidRPr="00994A7B" w:rsidRDefault="00D8263F">
          <w:pPr>
            <w:pStyle w:val="TM3"/>
            <w:tabs>
              <w:tab w:val="right" w:leader="dot" w:pos="9062"/>
            </w:tabs>
            <w:rPr>
              <w:rFonts w:ascii="Times New Roman" w:eastAsiaTheme="minorEastAsia" w:hAnsi="Times New Roman"/>
              <w:noProof/>
              <w:kern w:val="2"/>
              <w:sz w:val="24"/>
              <w:szCs w:val="24"/>
              <w14:ligatures w14:val="standardContextual"/>
            </w:rPr>
          </w:pPr>
          <w:hyperlink w:anchor="_Toc197420477" w:history="1">
            <w:r w:rsidR="00BB234A" w:rsidRPr="00994A7B">
              <w:rPr>
                <w:rStyle w:val="Lienhypertexte"/>
                <w:rFonts w:ascii="Times New Roman" w:eastAsiaTheme="minorHAnsi" w:hAnsi="Times New Roman"/>
                <w:b/>
                <w:bCs/>
                <w:noProof/>
                <w:sz w:val="24"/>
                <w:szCs w:val="24"/>
              </w:rPr>
              <w:t>3.1.3 L’Hésitation Vaccinale</w:t>
            </w:r>
            <w:r w:rsidR="00BB234A" w:rsidRPr="00994A7B">
              <w:rPr>
                <w:rFonts w:ascii="Times New Roman" w:hAnsi="Times New Roman"/>
                <w:noProof/>
                <w:webHidden/>
                <w:sz w:val="24"/>
                <w:szCs w:val="24"/>
              </w:rPr>
              <w:tab/>
            </w:r>
            <w:r w:rsidR="00BB234A" w:rsidRPr="00994A7B">
              <w:rPr>
                <w:rFonts w:ascii="Times New Roman" w:hAnsi="Times New Roman"/>
                <w:noProof/>
                <w:webHidden/>
                <w:sz w:val="24"/>
                <w:szCs w:val="24"/>
              </w:rPr>
              <w:fldChar w:fldCharType="begin"/>
            </w:r>
            <w:r w:rsidR="00BB234A" w:rsidRPr="00994A7B">
              <w:rPr>
                <w:rFonts w:ascii="Times New Roman" w:hAnsi="Times New Roman"/>
                <w:noProof/>
                <w:webHidden/>
                <w:sz w:val="24"/>
                <w:szCs w:val="24"/>
              </w:rPr>
              <w:instrText xml:space="preserve"> PAGEREF _Toc197420477 \h </w:instrText>
            </w:r>
            <w:r w:rsidR="00BB234A" w:rsidRPr="00994A7B">
              <w:rPr>
                <w:rFonts w:ascii="Times New Roman" w:hAnsi="Times New Roman"/>
                <w:noProof/>
                <w:webHidden/>
                <w:sz w:val="24"/>
                <w:szCs w:val="24"/>
              </w:rPr>
            </w:r>
            <w:r w:rsidR="00BB234A" w:rsidRPr="00994A7B">
              <w:rPr>
                <w:rFonts w:ascii="Times New Roman" w:hAnsi="Times New Roman"/>
                <w:noProof/>
                <w:webHidden/>
                <w:sz w:val="24"/>
                <w:szCs w:val="24"/>
              </w:rPr>
              <w:fldChar w:fldCharType="separate"/>
            </w:r>
            <w:r w:rsidR="00BB234A" w:rsidRPr="00994A7B">
              <w:rPr>
                <w:rFonts w:ascii="Times New Roman" w:hAnsi="Times New Roman"/>
                <w:noProof/>
                <w:webHidden/>
                <w:sz w:val="24"/>
                <w:szCs w:val="24"/>
              </w:rPr>
              <w:t>6</w:t>
            </w:r>
            <w:r w:rsidR="00BB234A" w:rsidRPr="00994A7B">
              <w:rPr>
                <w:rFonts w:ascii="Times New Roman" w:hAnsi="Times New Roman"/>
                <w:noProof/>
                <w:webHidden/>
                <w:sz w:val="24"/>
                <w:szCs w:val="24"/>
              </w:rPr>
              <w:fldChar w:fldCharType="end"/>
            </w:r>
          </w:hyperlink>
        </w:p>
        <w:p w14:paraId="7A506925" w14:textId="42959DB9" w:rsidR="00BB234A" w:rsidRPr="00994A7B" w:rsidRDefault="00D8263F">
          <w:pPr>
            <w:pStyle w:val="TM3"/>
            <w:tabs>
              <w:tab w:val="right" w:leader="dot" w:pos="9062"/>
            </w:tabs>
            <w:rPr>
              <w:rFonts w:ascii="Times New Roman" w:eastAsiaTheme="minorEastAsia" w:hAnsi="Times New Roman"/>
              <w:noProof/>
              <w:kern w:val="2"/>
              <w:sz w:val="24"/>
              <w:szCs w:val="24"/>
              <w14:ligatures w14:val="standardContextual"/>
            </w:rPr>
          </w:pPr>
          <w:hyperlink w:anchor="_Toc197420478" w:history="1">
            <w:r w:rsidR="00BB234A" w:rsidRPr="00994A7B">
              <w:rPr>
                <w:rStyle w:val="Lienhypertexte"/>
                <w:rFonts w:ascii="Times New Roman" w:eastAsiaTheme="minorHAnsi" w:hAnsi="Times New Roman"/>
                <w:b/>
                <w:bCs/>
                <w:noProof/>
                <w:sz w:val="24"/>
                <w:szCs w:val="24"/>
              </w:rPr>
              <w:t>3.1.4 Engagement Communautaire et Mobilisation Sociale</w:t>
            </w:r>
            <w:r w:rsidR="00BB234A" w:rsidRPr="00994A7B">
              <w:rPr>
                <w:rFonts w:ascii="Times New Roman" w:hAnsi="Times New Roman"/>
                <w:noProof/>
                <w:webHidden/>
                <w:sz w:val="24"/>
                <w:szCs w:val="24"/>
              </w:rPr>
              <w:tab/>
            </w:r>
            <w:r w:rsidR="00BB234A" w:rsidRPr="00994A7B">
              <w:rPr>
                <w:rFonts w:ascii="Times New Roman" w:hAnsi="Times New Roman"/>
                <w:noProof/>
                <w:webHidden/>
                <w:sz w:val="24"/>
                <w:szCs w:val="24"/>
              </w:rPr>
              <w:fldChar w:fldCharType="begin"/>
            </w:r>
            <w:r w:rsidR="00BB234A" w:rsidRPr="00994A7B">
              <w:rPr>
                <w:rFonts w:ascii="Times New Roman" w:hAnsi="Times New Roman"/>
                <w:noProof/>
                <w:webHidden/>
                <w:sz w:val="24"/>
                <w:szCs w:val="24"/>
              </w:rPr>
              <w:instrText xml:space="preserve"> PAGEREF _Toc197420478 \h </w:instrText>
            </w:r>
            <w:r w:rsidR="00BB234A" w:rsidRPr="00994A7B">
              <w:rPr>
                <w:rFonts w:ascii="Times New Roman" w:hAnsi="Times New Roman"/>
                <w:noProof/>
                <w:webHidden/>
                <w:sz w:val="24"/>
                <w:szCs w:val="24"/>
              </w:rPr>
            </w:r>
            <w:r w:rsidR="00BB234A" w:rsidRPr="00994A7B">
              <w:rPr>
                <w:rFonts w:ascii="Times New Roman" w:hAnsi="Times New Roman"/>
                <w:noProof/>
                <w:webHidden/>
                <w:sz w:val="24"/>
                <w:szCs w:val="24"/>
              </w:rPr>
              <w:fldChar w:fldCharType="separate"/>
            </w:r>
            <w:r w:rsidR="00BB234A" w:rsidRPr="00994A7B">
              <w:rPr>
                <w:rFonts w:ascii="Times New Roman" w:hAnsi="Times New Roman"/>
                <w:noProof/>
                <w:webHidden/>
                <w:sz w:val="24"/>
                <w:szCs w:val="24"/>
              </w:rPr>
              <w:t>6</w:t>
            </w:r>
            <w:r w:rsidR="00BB234A" w:rsidRPr="00994A7B">
              <w:rPr>
                <w:rFonts w:ascii="Times New Roman" w:hAnsi="Times New Roman"/>
                <w:noProof/>
                <w:webHidden/>
                <w:sz w:val="24"/>
                <w:szCs w:val="24"/>
              </w:rPr>
              <w:fldChar w:fldCharType="end"/>
            </w:r>
          </w:hyperlink>
        </w:p>
        <w:p w14:paraId="79DEBA62" w14:textId="4715FC3D" w:rsidR="00BB234A" w:rsidRPr="00994A7B" w:rsidRDefault="00D8263F">
          <w:pPr>
            <w:pStyle w:val="TM3"/>
            <w:tabs>
              <w:tab w:val="right" w:leader="dot" w:pos="9062"/>
            </w:tabs>
            <w:rPr>
              <w:rFonts w:ascii="Times New Roman" w:eastAsiaTheme="minorEastAsia" w:hAnsi="Times New Roman"/>
              <w:noProof/>
              <w:kern w:val="2"/>
              <w:sz w:val="24"/>
              <w:szCs w:val="24"/>
              <w14:ligatures w14:val="standardContextual"/>
            </w:rPr>
          </w:pPr>
          <w:hyperlink w:anchor="_Toc197420479" w:history="1">
            <w:r w:rsidR="00BB234A" w:rsidRPr="00994A7B">
              <w:rPr>
                <w:rStyle w:val="Lienhypertexte"/>
                <w:rFonts w:ascii="Times New Roman" w:eastAsiaTheme="minorHAnsi" w:hAnsi="Times New Roman"/>
                <w:b/>
                <w:bCs/>
                <w:noProof/>
                <w:sz w:val="24"/>
                <w:szCs w:val="24"/>
              </w:rPr>
              <w:t>3.1.5 Les Étapes d’un Plan de Communication</w:t>
            </w:r>
            <w:r w:rsidR="00BB234A" w:rsidRPr="00994A7B">
              <w:rPr>
                <w:rFonts w:ascii="Times New Roman" w:hAnsi="Times New Roman"/>
                <w:noProof/>
                <w:webHidden/>
                <w:sz w:val="24"/>
                <w:szCs w:val="24"/>
              </w:rPr>
              <w:tab/>
            </w:r>
            <w:r w:rsidR="00BB234A" w:rsidRPr="00994A7B">
              <w:rPr>
                <w:rFonts w:ascii="Times New Roman" w:hAnsi="Times New Roman"/>
                <w:noProof/>
                <w:webHidden/>
                <w:sz w:val="24"/>
                <w:szCs w:val="24"/>
              </w:rPr>
              <w:fldChar w:fldCharType="begin"/>
            </w:r>
            <w:r w:rsidR="00BB234A" w:rsidRPr="00994A7B">
              <w:rPr>
                <w:rFonts w:ascii="Times New Roman" w:hAnsi="Times New Roman"/>
                <w:noProof/>
                <w:webHidden/>
                <w:sz w:val="24"/>
                <w:szCs w:val="24"/>
              </w:rPr>
              <w:instrText xml:space="preserve"> PAGEREF _Toc197420479 \h </w:instrText>
            </w:r>
            <w:r w:rsidR="00BB234A" w:rsidRPr="00994A7B">
              <w:rPr>
                <w:rFonts w:ascii="Times New Roman" w:hAnsi="Times New Roman"/>
                <w:noProof/>
                <w:webHidden/>
                <w:sz w:val="24"/>
                <w:szCs w:val="24"/>
              </w:rPr>
            </w:r>
            <w:r w:rsidR="00BB234A" w:rsidRPr="00994A7B">
              <w:rPr>
                <w:rFonts w:ascii="Times New Roman" w:hAnsi="Times New Roman"/>
                <w:noProof/>
                <w:webHidden/>
                <w:sz w:val="24"/>
                <w:szCs w:val="24"/>
              </w:rPr>
              <w:fldChar w:fldCharType="separate"/>
            </w:r>
            <w:r w:rsidR="00BB234A" w:rsidRPr="00994A7B">
              <w:rPr>
                <w:rFonts w:ascii="Times New Roman" w:hAnsi="Times New Roman"/>
                <w:noProof/>
                <w:webHidden/>
                <w:sz w:val="24"/>
                <w:szCs w:val="24"/>
              </w:rPr>
              <w:t>6</w:t>
            </w:r>
            <w:r w:rsidR="00BB234A" w:rsidRPr="00994A7B">
              <w:rPr>
                <w:rFonts w:ascii="Times New Roman" w:hAnsi="Times New Roman"/>
                <w:noProof/>
                <w:webHidden/>
                <w:sz w:val="24"/>
                <w:szCs w:val="24"/>
              </w:rPr>
              <w:fldChar w:fldCharType="end"/>
            </w:r>
          </w:hyperlink>
        </w:p>
        <w:p w14:paraId="70A12AE0" w14:textId="5A1290C7" w:rsidR="00BB234A" w:rsidRPr="00994A7B" w:rsidRDefault="00D8263F">
          <w:pPr>
            <w:pStyle w:val="TM3"/>
            <w:tabs>
              <w:tab w:val="right" w:leader="dot" w:pos="9062"/>
            </w:tabs>
            <w:rPr>
              <w:rFonts w:ascii="Times New Roman" w:eastAsiaTheme="minorEastAsia" w:hAnsi="Times New Roman"/>
              <w:noProof/>
              <w:kern w:val="2"/>
              <w:sz w:val="24"/>
              <w:szCs w:val="24"/>
              <w14:ligatures w14:val="standardContextual"/>
            </w:rPr>
          </w:pPr>
          <w:hyperlink w:anchor="_Toc197420480" w:history="1">
            <w:r w:rsidR="00BB234A" w:rsidRPr="00994A7B">
              <w:rPr>
                <w:rStyle w:val="Lienhypertexte"/>
                <w:rFonts w:ascii="Times New Roman" w:eastAsiaTheme="minorHAnsi" w:hAnsi="Times New Roman"/>
                <w:b/>
                <w:bCs/>
                <w:noProof/>
                <w:sz w:val="24"/>
                <w:szCs w:val="24"/>
              </w:rPr>
              <w:t>3.1.6 Engagement Communautaire Digital en Faveur de la Vaccination</w:t>
            </w:r>
            <w:r w:rsidR="00BB234A" w:rsidRPr="00994A7B">
              <w:rPr>
                <w:rFonts w:ascii="Times New Roman" w:hAnsi="Times New Roman"/>
                <w:noProof/>
                <w:webHidden/>
                <w:sz w:val="24"/>
                <w:szCs w:val="24"/>
              </w:rPr>
              <w:tab/>
            </w:r>
            <w:r w:rsidR="00BB234A" w:rsidRPr="00994A7B">
              <w:rPr>
                <w:rFonts w:ascii="Times New Roman" w:hAnsi="Times New Roman"/>
                <w:noProof/>
                <w:webHidden/>
                <w:sz w:val="24"/>
                <w:szCs w:val="24"/>
              </w:rPr>
              <w:fldChar w:fldCharType="begin"/>
            </w:r>
            <w:r w:rsidR="00BB234A" w:rsidRPr="00994A7B">
              <w:rPr>
                <w:rFonts w:ascii="Times New Roman" w:hAnsi="Times New Roman"/>
                <w:noProof/>
                <w:webHidden/>
                <w:sz w:val="24"/>
                <w:szCs w:val="24"/>
              </w:rPr>
              <w:instrText xml:space="preserve"> PAGEREF _Toc197420480 \h </w:instrText>
            </w:r>
            <w:r w:rsidR="00BB234A" w:rsidRPr="00994A7B">
              <w:rPr>
                <w:rFonts w:ascii="Times New Roman" w:hAnsi="Times New Roman"/>
                <w:noProof/>
                <w:webHidden/>
                <w:sz w:val="24"/>
                <w:szCs w:val="24"/>
              </w:rPr>
            </w:r>
            <w:r w:rsidR="00BB234A" w:rsidRPr="00994A7B">
              <w:rPr>
                <w:rFonts w:ascii="Times New Roman" w:hAnsi="Times New Roman"/>
                <w:noProof/>
                <w:webHidden/>
                <w:sz w:val="24"/>
                <w:szCs w:val="24"/>
              </w:rPr>
              <w:fldChar w:fldCharType="separate"/>
            </w:r>
            <w:r w:rsidR="00BB234A" w:rsidRPr="00994A7B">
              <w:rPr>
                <w:rFonts w:ascii="Times New Roman" w:hAnsi="Times New Roman"/>
                <w:noProof/>
                <w:webHidden/>
                <w:sz w:val="24"/>
                <w:szCs w:val="24"/>
              </w:rPr>
              <w:t>6</w:t>
            </w:r>
            <w:r w:rsidR="00BB234A" w:rsidRPr="00994A7B">
              <w:rPr>
                <w:rFonts w:ascii="Times New Roman" w:hAnsi="Times New Roman"/>
                <w:noProof/>
                <w:webHidden/>
                <w:sz w:val="24"/>
                <w:szCs w:val="24"/>
              </w:rPr>
              <w:fldChar w:fldCharType="end"/>
            </w:r>
          </w:hyperlink>
        </w:p>
        <w:p w14:paraId="71F6B527" w14:textId="2F939A0F" w:rsidR="00BB234A" w:rsidRPr="00994A7B" w:rsidRDefault="00D8263F">
          <w:pPr>
            <w:pStyle w:val="TM3"/>
            <w:tabs>
              <w:tab w:val="right" w:leader="dot" w:pos="9062"/>
            </w:tabs>
            <w:rPr>
              <w:rFonts w:ascii="Times New Roman" w:eastAsiaTheme="minorEastAsia" w:hAnsi="Times New Roman"/>
              <w:noProof/>
              <w:kern w:val="2"/>
              <w:sz w:val="24"/>
              <w:szCs w:val="24"/>
              <w14:ligatures w14:val="standardContextual"/>
            </w:rPr>
          </w:pPr>
          <w:hyperlink w:anchor="_Toc197420481" w:history="1">
            <w:r w:rsidR="00BB234A" w:rsidRPr="00994A7B">
              <w:rPr>
                <w:rStyle w:val="Lienhypertexte"/>
                <w:rFonts w:ascii="Times New Roman" w:eastAsiaTheme="minorHAnsi" w:hAnsi="Times New Roman"/>
                <w:b/>
                <w:bCs/>
                <w:noProof/>
                <w:sz w:val="24"/>
                <w:szCs w:val="24"/>
              </w:rPr>
              <w:t>3.1.7 Le Plaidoyer en Réponse à une Épidémie</w:t>
            </w:r>
            <w:r w:rsidR="00BB234A" w:rsidRPr="00994A7B">
              <w:rPr>
                <w:rFonts w:ascii="Times New Roman" w:hAnsi="Times New Roman"/>
                <w:noProof/>
                <w:webHidden/>
                <w:sz w:val="24"/>
                <w:szCs w:val="24"/>
              </w:rPr>
              <w:tab/>
            </w:r>
            <w:r w:rsidR="00BB234A" w:rsidRPr="00994A7B">
              <w:rPr>
                <w:rFonts w:ascii="Times New Roman" w:hAnsi="Times New Roman"/>
                <w:noProof/>
                <w:webHidden/>
                <w:sz w:val="24"/>
                <w:szCs w:val="24"/>
              </w:rPr>
              <w:fldChar w:fldCharType="begin"/>
            </w:r>
            <w:r w:rsidR="00BB234A" w:rsidRPr="00994A7B">
              <w:rPr>
                <w:rFonts w:ascii="Times New Roman" w:hAnsi="Times New Roman"/>
                <w:noProof/>
                <w:webHidden/>
                <w:sz w:val="24"/>
                <w:szCs w:val="24"/>
              </w:rPr>
              <w:instrText xml:space="preserve"> PAGEREF _Toc197420481 \h </w:instrText>
            </w:r>
            <w:r w:rsidR="00BB234A" w:rsidRPr="00994A7B">
              <w:rPr>
                <w:rFonts w:ascii="Times New Roman" w:hAnsi="Times New Roman"/>
                <w:noProof/>
                <w:webHidden/>
                <w:sz w:val="24"/>
                <w:szCs w:val="24"/>
              </w:rPr>
            </w:r>
            <w:r w:rsidR="00BB234A" w:rsidRPr="00994A7B">
              <w:rPr>
                <w:rFonts w:ascii="Times New Roman" w:hAnsi="Times New Roman"/>
                <w:noProof/>
                <w:webHidden/>
                <w:sz w:val="24"/>
                <w:szCs w:val="24"/>
              </w:rPr>
              <w:fldChar w:fldCharType="separate"/>
            </w:r>
            <w:r w:rsidR="00BB234A" w:rsidRPr="00994A7B">
              <w:rPr>
                <w:rFonts w:ascii="Times New Roman" w:hAnsi="Times New Roman"/>
                <w:noProof/>
                <w:webHidden/>
                <w:sz w:val="24"/>
                <w:szCs w:val="24"/>
              </w:rPr>
              <w:t>7</w:t>
            </w:r>
            <w:r w:rsidR="00BB234A" w:rsidRPr="00994A7B">
              <w:rPr>
                <w:rFonts w:ascii="Times New Roman" w:hAnsi="Times New Roman"/>
                <w:noProof/>
                <w:webHidden/>
                <w:sz w:val="24"/>
                <w:szCs w:val="24"/>
              </w:rPr>
              <w:fldChar w:fldCharType="end"/>
            </w:r>
          </w:hyperlink>
        </w:p>
        <w:p w14:paraId="20909B05" w14:textId="46F31557" w:rsidR="00BB234A" w:rsidRPr="00994A7B" w:rsidRDefault="00D8263F">
          <w:pPr>
            <w:pStyle w:val="TM3"/>
            <w:tabs>
              <w:tab w:val="right" w:leader="dot" w:pos="9062"/>
            </w:tabs>
            <w:rPr>
              <w:rFonts w:ascii="Times New Roman" w:eastAsiaTheme="minorEastAsia" w:hAnsi="Times New Roman"/>
              <w:noProof/>
              <w:kern w:val="2"/>
              <w:sz w:val="24"/>
              <w:szCs w:val="24"/>
              <w14:ligatures w14:val="standardContextual"/>
            </w:rPr>
          </w:pPr>
          <w:hyperlink w:anchor="_Toc197420482" w:history="1">
            <w:r w:rsidR="00BB234A" w:rsidRPr="00994A7B">
              <w:rPr>
                <w:rStyle w:val="Lienhypertexte"/>
                <w:rFonts w:ascii="Times New Roman" w:eastAsiaTheme="minorHAnsi" w:hAnsi="Times New Roman"/>
                <w:b/>
                <w:bCs/>
                <w:noProof/>
                <w:sz w:val="24"/>
                <w:szCs w:val="24"/>
              </w:rPr>
              <w:t>3.1.8 Orientation sur les Activités SBC Transfrontalières</w:t>
            </w:r>
            <w:r w:rsidR="00BB234A" w:rsidRPr="00994A7B">
              <w:rPr>
                <w:rFonts w:ascii="Times New Roman" w:hAnsi="Times New Roman"/>
                <w:noProof/>
                <w:webHidden/>
                <w:sz w:val="24"/>
                <w:szCs w:val="24"/>
              </w:rPr>
              <w:tab/>
            </w:r>
            <w:r w:rsidR="00BB234A" w:rsidRPr="00994A7B">
              <w:rPr>
                <w:rFonts w:ascii="Times New Roman" w:hAnsi="Times New Roman"/>
                <w:noProof/>
                <w:webHidden/>
                <w:sz w:val="24"/>
                <w:szCs w:val="24"/>
              </w:rPr>
              <w:fldChar w:fldCharType="begin"/>
            </w:r>
            <w:r w:rsidR="00BB234A" w:rsidRPr="00994A7B">
              <w:rPr>
                <w:rFonts w:ascii="Times New Roman" w:hAnsi="Times New Roman"/>
                <w:noProof/>
                <w:webHidden/>
                <w:sz w:val="24"/>
                <w:szCs w:val="24"/>
              </w:rPr>
              <w:instrText xml:space="preserve"> PAGEREF _Toc197420482 \h </w:instrText>
            </w:r>
            <w:r w:rsidR="00BB234A" w:rsidRPr="00994A7B">
              <w:rPr>
                <w:rFonts w:ascii="Times New Roman" w:hAnsi="Times New Roman"/>
                <w:noProof/>
                <w:webHidden/>
                <w:sz w:val="24"/>
                <w:szCs w:val="24"/>
              </w:rPr>
            </w:r>
            <w:r w:rsidR="00BB234A" w:rsidRPr="00994A7B">
              <w:rPr>
                <w:rFonts w:ascii="Times New Roman" w:hAnsi="Times New Roman"/>
                <w:noProof/>
                <w:webHidden/>
                <w:sz w:val="24"/>
                <w:szCs w:val="24"/>
              </w:rPr>
              <w:fldChar w:fldCharType="separate"/>
            </w:r>
            <w:r w:rsidR="00BB234A" w:rsidRPr="00994A7B">
              <w:rPr>
                <w:rFonts w:ascii="Times New Roman" w:hAnsi="Times New Roman"/>
                <w:noProof/>
                <w:webHidden/>
                <w:sz w:val="24"/>
                <w:szCs w:val="24"/>
              </w:rPr>
              <w:t>7</w:t>
            </w:r>
            <w:r w:rsidR="00BB234A" w:rsidRPr="00994A7B">
              <w:rPr>
                <w:rFonts w:ascii="Times New Roman" w:hAnsi="Times New Roman"/>
                <w:noProof/>
                <w:webHidden/>
                <w:sz w:val="24"/>
                <w:szCs w:val="24"/>
              </w:rPr>
              <w:fldChar w:fldCharType="end"/>
            </w:r>
          </w:hyperlink>
        </w:p>
        <w:p w14:paraId="6697E069" w14:textId="73121E4A" w:rsidR="00BB234A" w:rsidRPr="00994A7B" w:rsidRDefault="00D8263F">
          <w:pPr>
            <w:pStyle w:val="TM3"/>
            <w:tabs>
              <w:tab w:val="right" w:leader="dot" w:pos="9062"/>
            </w:tabs>
            <w:rPr>
              <w:rFonts w:ascii="Times New Roman" w:eastAsiaTheme="minorEastAsia" w:hAnsi="Times New Roman"/>
              <w:noProof/>
              <w:kern w:val="2"/>
              <w:sz w:val="24"/>
              <w:szCs w:val="24"/>
              <w14:ligatures w14:val="standardContextual"/>
            </w:rPr>
          </w:pPr>
          <w:hyperlink w:anchor="_Toc197420483" w:history="1">
            <w:r w:rsidR="00BB234A" w:rsidRPr="00994A7B">
              <w:rPr>
                <w:rStyle w:val="Lienhypertexte"/>
                <w:rFonts w:ascii="Times New Roman" w:eastAsiaTheme="minorHAnsi" w:hAnsi="Times New Roman"/>
                <w:b/>
                <w:bCs/>
                <w:noProof/>
                <w:sz w:val="24"/>
                <w:szCs w:val="24"/>
              </w:rPr>
              <w:t>3.1.9 La Gestion des Données lors des AVS Polio</w:t>
            </w:r>
            <w:r w:rsidR="00BB234A" w:rsidRPr="00994A7B">
              <w:rPr>
                <w:rFonts w:ascii="Times New Roman" w:hAnsi="Times New Roman"/>
                <w:noProof/>
                <w:webHidden/>
                <w:sz w:val="24"/>
                <w:szCs w:val="24"/>
              </w:rPr>
              <w:tab/>
            </w:r>
            <w:r w:rsidR="00BB234A" w:rsidRPr="00994A7B">
              <w:rPr>
                <w:rFonts w:ascii="Times New Roman" w:hAnsi="Times New Roman"/>
                <w:noProof/>
                <w:webHidden/>
                <w:sz w:val="24"/>
                <w:szCs w:val="24"/>
              </w:rPr>
              <w:fldChar w:fldCharType="begin"/>
            </w:r>
            <w:r w:rsidR="00BB234A" w:rsidRPr="00994A7B">
              <w:rPr>
                <w:rFonts w:ascii="Times New Roman" w:hAnsi="Times New Roman"/>
                <w:noProof/>
                <w:webHidden/>
                <w:sz w:val="24"/>
                <w:szCs w:val="24"/>
              </w:rPr>
              <w:instrText xml:space="preserve"> PAGEREF _Toc197420483 \h </w:instrText>
            </w:r>
            <w:r w:rsidR="00BB234A" w:rsidRPr="00994A7B">
              <w:rPr>
                <w:rFonts w:ascii="Times New Roman" w:hAnsi="Times New Roman"/>
                <w:noProof/>
                <w:webHidden/>
                <w:sz w:val="24"/>
                <w:szCs w:val="24"/>
              </w:rPr>
            </w:r>
            <w:r w:rsidR="00BB234A" w:rsidRPr="00994A7B">
              <w:rPr>
                <w:rFonts w:ascii="Times New Roman" w:hAnsi="Times New Roman"/>
                <w:noProof/>
                <w:webHidden/>
                <w:sz w:val="24"/>
                <w:szCs w:val="24"/>
              </w:rPr>
              <w:fldChar w:fldCharType="separate"/>
            </w:r>
            <w:r w:rsidR="00BB234A" w:rsidRPr="00994A7B">
              <w:rPr>
                <w:rFonts w:ascii="Times New Roman" w:hAnsi="Times New Roman"/>
                <w:noProof/>
                <w:webHidden/>
                <w:sz w:val="24"/>
                <w:szCs w:val="24"/>
              </w:rPr>
              <w:t>7</w:t>
            </w:r>
            <w:r w:rsidR="00BB234A" w:rsidRPr="00994A7B">
              <w:rPr>
                <w:rFonts w:ascii="Times New Roman" w:hAnsi="Times New Roman"/>
                <w:noProof/>
                <w:webHidden/>
                <w:sz w:val="24"/>
                <w:szCs w:val="24"/>
              </w:rPr>
              <w:fldChar w:fldCharType="end"/>
            </w:r>
          </w:hyperlink>
        </w:p>
        <w:p w14:paraId="6B8914ED" w14:textId="5C3E1CCF" w:rsidR="00BB234A" w:rsidRPr="00994A7B" w:rsidRDefault="00D8263F">
          <w:pPr>
            <w:pStyle w:val="TM3"/>
            <w:tabs>
              <w:tab w:val="right" w:leader="dot" w:pos="9062"/>
            </w:tabs>
            <w:rPr>
              <w:rFonts w:ascii="Times New Roman" w:eastAsiaTheme="minorEastAsia" w:hAnsi="Times New Roman"/>
              <w:noProof/>
              <w:kern w:val="2"/>
              <w:sz w:val="24"/>
              <w:szCs w:val="24"/>
              <w14:ligatures w14:val="standardContextual"/>
            </w:rPr>
          </w:pPr>
          <w:hyperlink w:anchor="_Toc197420484" w:history="1">
            <w:r w:rsidR="00BB234A" w:rsidRPr="00994A7B">
              <w:rPr>
                <w:rStyle w:val="Lienhypertexte"/>
                <w:rFonts w:ascii="Times New Roman" w:eastAsiaTheme="minorHAnsi" w:hAnsi="Times New Roman"/>
                <w:b/>
                <w:bCs/>
                <w:noProof/>
                <w:sz w:val="24"/>
                <w:szCs w:val="24"/>
              </w:rPr>
              <w:t>3.1.10 Gestion de la Désinformation lors des Épidémies de Polio</w:t>
            </w:r>
            <w:r w:rsidR="00BB234A" w:rsidRPr="00994A7B">
              <w:rPr>
                <w:rFonts w:ascii="Times New Roman" w:hAnsi="Times New Roman"/>
                <w:noProof/>
                <w:webHidden/>
                <w:sz w:val="24"/>
                <w:szCs w:val="24"/>
              </w:rPr>
              <w:tab/>
            </w:r>
            <w:r w:rsidR="00BB234A" w:rsidRPr="00994A7B">
              <w:rPr>
                <w:rFonts w:ascii="Times New Roman" w:hAnsi="Times New Roman"/>
                <w:noProof/>
                <w:webHidden/>
                <w:sz w:val="24"/>
                <w:szCs w:val="24"/>
              </w:rPr>
              <w:fldChar w:fldCharType="begin"/>
            </w:r>
            <w:r w:rsidR="00BB234A" w:rsidRPr="00994A7B">
              <w:rPr>
                <w:rFonts w:ascii="Times New Roman" w:hAnsi="Times New Roman"/>
                <w:noProof/>
                <w:webHidden/>
                <w:sz w:val="24"/>
                <w:szCs w:val="24"/>
              </w:rPr>
              <w:instrText xml:space="preserve"> PAGEREF _Toc197420484 \h </w:instrText>
            </w:r>
            <w:r w:rsidR="00BB234A" w:rsidRPr="00994A7B">
              <w:rPr>
                <w:rFonts w:ascii="Times New Roman" w:hAnsi="Times New Roman"/>
                <w:noProof/>
                <w:webHidden/>
                <w:sz w:val="24"/>
                <w:szCs w:val="24"/>
              </w:rPr>
            </w:r>
            <w:r w:rsidR="00BB234A" w:rsidRPr="00994A7B">
              <w:rPr>
                <w:rFonts w:ascii="Times New Roman" w:hAnsi="Times New Roman"/>
                <w:noProof/>
                <w:webHidden/>
                <w:sz w:val="24"/>
                <w:szCs w:val="24"/>
              </w:rPr>
              <w:fldChar w:fldCharType="separate"/>
            </w:r>
            <w:r w:rsidR="00BB234A" w:rsidRPr="00994A7B">
              <w:rPr>
                <w:rFonts w:ascii="Times New Roman" w:hAnsi="Times New Roman"/>
                <w:noProof/>
                <w:webHidden/>
                <w:sz w:val="24"/>
                <w:szCs w:val="24"/>
              </w:rPr>
              <w:t>7</w:t>
            </w:r>
            <w:r w:rsidR="00BB234A" w:rsidRPr="00994A7B">
              <w:rPr>
                <w:rFonts w:ascii="Times New Roman" w:hAnsi="Times New Roman"/>
                <w:noProof/>
                <w:webHidden/>
                <w:sz w:val="24"/>
                <w:szCs w:val="24"/>
              </w:rPr>
              <w:fldChar w:fldCharType="end"/>
            </w:r>
          </w:hyperlink>
        </w:p>
        <w:p w14:paraId="04F4C0D0" w14:textId="628F1055" w:rsidR="00BB234A" w:rsidRPr="00994A7B" w:rsidRDefault="00D8263F">
          <w:pPr>
            <w:pStyle w:val="TM1"/>
            <w:tabs>
              <w:tab w:val="left" w:pos="440"/>
              <w:tab w:val="right" w:leader="dot" w:pos="9062"/>
            </w:tabs>
            <w:rPr>
              <w:rFonts w:ascii="Times New Roman" w:eastAsiaTheme="minorEastAsia" w:hAnsi="Times New Roman"/>
              <w:b w:val="0"/>
              <w:bCs w:val="0"/>
              <w:i w:val="0"/>
              <w:iCs w:val="0"/>
              <w:noProof/>
              <w:kern w:val="2"/>
              <w14:ligatures w14:val="standardContextual"/>
            </w:rPr>
          </w:pPr>
          <w:hyperlink w:anchor="_Toc197420485" w:history="1">
            <w:r w:rsidR="00BB234A" w:rsidRPr="00994A7B">
              <w:rPr>
                <w:rStyle w:val="Lienhypertexte"/>
                <w:rFonts w:ascii="Times New Roman" w:hAnsi="Times New Roman"/>
                <w:noProof/>
              </w:rPr>
              <w:t>4.</w:t>
            </w:r>
            <w:r w:rsidR="00BB234A" w:rsidRPr="00994A7B">
              <w:rPr>
                <w:rFonts w:ascii="Times New Roman" w:eastAsiaTheme="minorEastAsia" w:hAnsi="Times New Roman"/>
                <w:b w:val="0"/>
                <w:bCs w:val="0"/>
                <w:i w:val="0"/>
                <w:iCs w:val="0"/>
                <w:noProof/>
                <w:kern w:val="2"/>
                <w14:ligatures w14:val="standardContextual"/>
              </w:rPr>
              <w:tab/>
            </w:r>
            <w:r w:rsidR="00BB234A" w:rsidRPr="00994A7B">
              <w:rPr>
                <w:rStyle w:val="Lienhypertexte"/>
                <w:rFonts w:ascii="Times New Roman" w:hAnsi="Times New Roman"/>
                <w:noProof/>
              </w:rPr>
              <w:t>Synthèse de l’évaluation prétest et post test</w:t>
            </w:r>
            <w:r w:rsidR="00BB234A" w:rsidRPr="00994A7B">
              <w:rPr>
                <w:rFonts w:ascii="Times New Roman" w:hAnsi="Times New Roman"/>
                <w:noProof/>
                <w:webHidden/>
              </w:rPr>
              <w:tab/>
            </w:r>
            <w:r w:rsidR="00BB234A" w:rsidRPr="00994A7B">
              <w:rPr>
                <w:rFonts w:ascii="Times New Roman" w:hAnsi="Times New Roman"/>
                <w:noProof/>
                <w:webHidden/>
              </w:rPr>
              <w:fldChar w:fldCharType="begin"/>
            </w:r>
            <w:r w:rsidR="00BB234A" w:rsidRPr="00994A7B">
              <w:rPr>
                <w:rFonts w:ascii="Times New Roman" w:hAnsi="Times New Roman"/>
                <w:noProof/>
                <w:webHidden/>
              </w:rPr>
              <w:instrText xml:space="preserve"> PAGEREF _Toc197420485 \h </w:instrText>
            </w:r>
            <w:r w:rsidR="00BB234A" w:rsidRPr="00994A7B">
              <w:rPr>
                <w:rFonts w:ascii="Times New Roman" w:hAnsi="Times New Roman"/>
                <w:noProof/>
                <w:webHidden/>
              </w:rPr>
            </w:r>
            <w:r w:rsidR="00BB234A" w:rsidRPr="00994A7B">
              <w:rPr>
                <w:rFonts w:ascii="Times New Roman" w:hAnsi="Times New Roman"/>
                <w:noProof/>
                <w:webHidden/>
              </w:rPr>
              <w:fldChar w:fldCharType="separate"/>
            </w:r>
            <w:r w:rsidR="00BB234A" w:rsidRPr="00994A7B">
              <w:rPr>
                <w:rFonts w:ascii="Times New Roman" w:hAnsi="Times New Roman"/>
                <w:noProof/>
                <w:webHidden/>
              </w:rPr>
              <w:t>8</w:t>
            </w:r>
            <w:r w:rsidR="00BB234A" w:rsidRPr="00994A7B">
              <w:rPr>
                <w:rFonts w:ascii="Times New Roman" w:hAnsi="Times New Roman"/>
                <w:noProof/>
                <w:webHidden/>
              </w:rPr>
              <w:fldChar w:fldCharType="end"/>
            </w:r>
          </w:hyperlink>
        </w:p>
        <w:p w14:paraId="3C9590A7" w14:textId="1CFEE745" w:rsidR="00BB234A" w:rsidRPr="00994A7B" w:rsidRDefault="00D8263F">
          <w:pPr>
            <w:pStyle w:val="TM1"/>
            <w:tabs>
              <w:tab w:val="left" w:pos="440"/>
              <w:tab w:val="right" w:leader="dot" w:pos="9062"/>
            </w:tabs>
            <w:rPr>
              <w:rFonts w:ascii="Times New Roman" w:eastAsiaTheme="minorEastAsia" w:hAnsi="Times New Roman"/>
              <w:b w:val="0"/>
              <w:bCs w:val="0"/>
              <w:i w:val="0"/>
              <w:iCs w:val="0"/>
              <w:noProof/>
              <w:kern w:val="2"/>
              <w14:ligatures w14:val="standardContextual"/>
            </w:rPr>
          </w:pPr>
          <w:hyperlink w:anchor="_Toc197420486" w:history="1">
            <w:r w:rsidR="00BB234A" w:rsidRPr="00994A7B">
              <w:rPr>
                <w:rStyle w:val="Lienhypertexte"/>
                <w:rFonts w:ascii="Times New Roman" w:eastAsia="Calibri" w:hAnsi="Times New Roman"/>
                <w:noProof/>
              </w:rPr>
              <w:t>5.</w:t>
            </w:r>
            <w:r w:rsidR="00BB234A" w:rsidRPr="00994A7B">
              <w:rPr>
                <w:rFonts w:ascii="Times New Roman" w:eastAsiaTheme="minorEastAsia" w:hAnsi="Times New Roman"/>
                <w:b w:val="0"/>
                <w:bCs w:val="0"/>
                <w:i w:val="0"/>
                <w:iCs w:val="0"/>
                <w:noProof/>
                <w:kern w:val="2"/>
                <w14:ligatures w14:val="standardContextual"/>
              </w:rPr>
              <w:tab/>
            </w:r>
            <w:r w:rsidR="00BB234A" w:rsidRPr="00994A7B">
              <w:rPr>
                <w:rStyle w:val="Lienhypertexte"/>
                <w:rFonts w:ascii="Times New Roman" w:eastAsia="Calibri" w:hAnsi="Times New Roman"/>
                <w:noProof/>
              </w:rPr>
              <w:t>Conclusion générale</w:t>
            </w:r>
            <w:r w:rsidR="00BB234A" w:rsidRPr="00994A7B">
              <w:rPr>
                <w:rFonts w:ascii="Times New Roman" w:hAnsi="Times New Roman"/>
                <w:noProof/>
                <w:webHidden/>
              </w:rPr>
              <w:tab/>
            </w:r>
            <w:r w:rsidR="00BB234A" w:rsidRPr="00994A7B">
              <w:rPr>
                <w:rFonts w:ascii="Times New Roman" w:hAnsi="Times New Roman"/>
                <w:noProof/>
                <w:webHidden/>
              </w:rPr>
              <w:fldChar w:fldCharType="begin"/>
            </w:r>
            <w:r w:rsidR="00BB234A" w:rsidRPr="00994A7B">
              <w:rPr>
                <w:rFonts w:ascii="Times New Roman" w:hAnsi="Times New Roman"/>
                <w:noProof/>
                <w:webHidden/>
              </w:rPr>
              <w:instrText xml:space="preserve"> PAGEREF _Toc197420486 \h </w:instrText>
            </w:r>
            <w:r w:rsidR="00BB234A" w:rsidRPr="00994A7B">
              <w:rPr>
                <w:rFonts w:ascii="Times New Roman" w:hAnsi="Times New Roman"/>
                <w:noProof/>
                <w:webHidden/>
              </w:rPr>
            </w:r>
            <w:r w:rsidR="00BB234A" w:rsidRPr="00994A7B">
              <w:rPr>
                <w:rFonts w:ascii="Times New Roman" w:hAnsi="Times New Roman"/>
                <w:noProof/>
                <w:webHidden/>
              </w:rPr>
              <w:fldChar w:fldCharType="separate"/>
            </w:r>
            <w:r w:rsidR="00BB234A" w:rsidRPr="00994A7B">
              <w:rPr>
                <w:rFonts w:ascii="Times New Roman" w:hAnsi="Times New Roman"/>
                <w:noProof/>
                <w:webHidden/>
              </w:rPr>
              <w:t>9</w:t>
            </w:r>
            <w:r w:rsidR="00BB234A" w:rsidRPr="00994A7B">
              <w:rPr>
                <w:rFonts w:ascii="Times New Roman" w:hAnsi="Times New Roman"/>
                <w:noProof/>
                <w:webHidden/>
              </w:rPr>
              <w:fldChar w:fldCharType="end"/>
            </w:r>
          </w:hyperlink>
        </w:p>
        <w:p w14:paraId="2A8BFEE5" w14:textId="50DB2D22" w:rsidR="0050132C" w:rsidRPr="00994A7B" w:rsidRDefault="0050132C">
          <w:pPr>
            <w:rPr>
              <w:rFonts w:ascii="Times New Roman" w:hAnsi="Times New Roman" w:cs="Times New Roman"/>
              <w:sz w:val="24"/>
              <w:szCs w:val="24"/>
            </w:rPr>
          </w:pPr>
          <w:r w:rsidRPr="00994A7B">
            <w:rPr>
              <w:rFonts w:ascii="Times New Roman" w:hAnsi="Times New Roman" w:cs="Times New Roman"/>
              <w:b/>
              <w:bCs/>
              <w:sz w:val="24"/>
              <w:szCs w:val="24"/>
            </w:rPr>
            <w:fldChar w:fldCharType="end"/>
          </w:r>
        </w:p>
      </w:sdtContent>
    </w:sdt>
    <w:p w14:paraId="4EE1A7E7" w14:textId="586C5B28" w:rsidR="00D94BBB" w:rsidRPr="00994A7B" w:rsidRDefault="00D94BBB" w:rsidP="0050132C">
      <w:pPr>
        <w:pStyle w:val="BankNormal"/>
        <w:autoSpaceDE/>
        <w:autoSpaceDN/>
        <w:spacing w:after="0" w:line="276" w:lineRule="auto"/>
        <w:rPr>
          <w:szCs w:val="24"/>
        </w:rPr>
      </w:pPr>
      <w:r w:rsidRPr="00994A7B">
        <w:rPr>
          <w:b/>
          <w:szCs w:val="24"/>
        </w:rPr>
        <w:br w:type="page"/>
      </w:r>
      <w:bookmarkStart w:id="3" w:name="_GoBack"/>
      <w:bookmarkEnd w:id="3"/>
    </w:p>
    <w:p w14:paraId="3DB4A580" w14:textId="77777777" w:rsidR="00D94BBB" w:rsidRPr="00994A7B" w:rsidRDefault="00D94BBB" w:rsidP="00994A7B">
      <w:pPr>
        <w:pStyle w:val="Titre1"/>
        <w:spacing w:before="120" w:after="120" w:line="360" w:lineRule="auto"/>
        <w:rPr>
          <w:rFonts w:ascii="Times New Roman" w:hAnsi="Times New Roman" w:cs="Times New Roman"/>
          <w:b/>
          <w:bCs/>
          <w:color w:val="auto"/>
          <w:sz w:val="24"/>
          <w:szCs w:val="24"/>
        </w:rPr>
      </w:pPr>
      <w:bookmarkStart w:id="4" w:name="_Toc529706496"/>
      <w:bookmarkStart w:id="5" w:name="_Toc197419091"/>
      <w:bookmarkStart w:id="6" w:name="_Toc197420468"/>
      <w:r w:rsidRPr="00994A7B">
        <w:rPr>
          <w:rFonts w:ascii="Times New Roman" w:hAnsi="Times New Roman" w:cs="Times New Roman"/>
          <w:b/>
          <w:bCs/>
          <w:color w:val="auto"/>
          <w:sz w:val="24"/>
          <w:szCs w:val="24"/>
        </w:rPr>
        <w:lastRenderedPageBreak/>
        <w:t>Introduction</w:t>
      </w:r>
      <w:bookmarkEnd w:id="4"/>
      <w:bookmarkEnd w:id="5"/>
      <w:bookmarkEnd w:id="6"/>
    </w:p>
    <w:p w14:paraId="37D6C79C" w14:textId="77777777" w:rsidR="00ED27BB" w:rsidRPr="00994A7B" w:rsidRDefault="00ED27BB" w:rsidP="00994A7B">
      <w:pPr>
        <w:spacing w:line="360" w:lineRule="auto"/>
        <w:jc w:val="both"/>
        <w:rPr>
          <w:rFonts w:ascii="Times New Roman" w:hAnsi="Times New Roman" w:cs="Times New Roman"/>
          <w:sz w:val="24"/>
          <w:szCs w:val="24"/>
        </w:rPr>
      </w:pPr>
      <w:r w:rsidRPr="00994A7B">
        <w:rPr>
          <w:rFonts w:ascii="Times New Roman" w:hAnsi="Times New Roman" w:cs="Times New Roman"/>
          <w:sz w:val="24"/>
          <w:szCs w:val="24"/>
        </w:rPr>
        <w:t>De novembre 2024 à mai 2025, trois sessions de formation ont été organisées à l’intention des Points Focaux IEC et des Délégués Sanitaires Provinciaux sur le thème : « Les approches du Changement Social et Comportemental (SBC) ».</w:t>
      </w:r>
    </w:p>
    <w:p w14:paraId="2BA6BB89" w14:textId="44481473" w:rsidR="00F855BB" w:rsidRPr="00994A7B" w:rsidRDefault="00ED27BB" w:rsidP="00994A7B">
      <w:pPr>
        <w:spacing w:line="360" w:lineRule="auto"/>
        <w:jc w:val="both"/>
        <w:rPr>
          <w:rFonts w:ascii="Times New Roman" w:hAnsi="Times New Roman" w:cs="Times New Roman"/>
          <w:sz w:val="24"/>
          <w:szCs w:val="24"/>
        </w:rPr>
      </w:pPr>
      <w:r w:rsidRPr="00994A7B">
        <w:rPr>
          <w:rFonts w:ascii="Times New Roman" w:hAnsi="Times New Roman" w:cs="Times New Roman"/>
          <w:sz w:val="24"/>
          <w:szCs w:val="24"/>
        </w:rPr>
        <w:t>Il convient de souligner qu’il s’agissait d’une formation des formateurs, car les participants formés auront pour mission de restituer les acquis en formant à leur tour les Points Focaux IEC au niveau des districts sanitaires</w:t>
      </w:r>
      <w:r w:rsidR="00F855BB" w:rsidRPr="00994A7B">
        <w:rPr>
          <w:rFonts w:ascii="Times New Roman" w:hAnsi="Times New Roman" w:cs="Times New Roman"/>
          <w:sz w:val="24"/>
          <w:szCs w:val="24"/>
        </w:rPr>
        <w:t xml:space="preserve">. Les acteurs des 23 provinces ont été repartis en pools composés du </w:t>
      </w:r>
      <w:r w:rsidR="00F855BB" w:rsidRPr="00994A7B">
        <w:rPr>
          <w:rFonts w:ascii="Times New Roman" w:hAnsi="Times New Roman" w:cs="Times New Roman"/>
          <w:b/>
          <w:bCs/>
          <w:sz w:val="24"/>
          <w:szCs w:val="24"/>
        </w:rPr>
        <w:t>pool de N’Djamena</w:t>
      </w:r>
      <w:r w:rsidR="00F855BB" w:rsidRPr="00994A7B">
        <w:rPr>
          <w:rFonts w:ascii="Times New Roman" w:hAnsi="Times New Roman" w:cs="Times New Roman"/>
          <w:sz w:val="24"/>
          <w:szCs w:val="24"/>
        </w:rPr>
        <w:t xml:space="preserve"> regroupant N’Djamena, Chari Baguirmi, </w:t>
      </w:r>
      <w:proofErr w:type="spellStart"/>
      <w:r w:rsidR="00F855BB" w:rsidRPr="00994A7B">
        <w:rPr>
          <w:rFonts w:ascii="Times New Roman" w:hAnsi="Times New Roman" w:cs="Times New Roman"/>
          <w:sz w:val="24"/>
          <w:szCs w:val="24"/>
        </w:rPr>
        <w:t>Hadjer</w:t>
      </w:r>
      <w:proofErr w:type="spellEnd"/>
      <w:r w:rsidR="00F855BB" w:rsidRPr="00994A7B">
        <w:rPr>
          <w:rFonts w:ascii="Times New Roman" w:hAnsi="Times New Roman" w:cs="Times New Roman"/>
          <w:sz w:val="24"/>
          <w:szCs w:val="24"/>
        </w:rPr>
        <w:t xml:space="preserve"> </w:t>
      </w:r>
      <w:proofErr w:type="spellStart"/>
      <w:r w:rsidR="00F855BB" w:rsidRPr="00994A7B">
        <w:rPr>
          <w:rFonts w:ascii="Times New Roman" w:hAnsi="Times New Roman" w:cs="Times New Roman"/>
          <w:sz w:val="24"/>
          <w:szCs w:val="24"/>
        </w:rPr>
        <w:t>Lamis</w:t>
      </w:r>
      <w:proofErr w:type="spellEnd"/>
      <w:r w:rsidR="00F855BB" w:rsidRPr="00994A7B">
        <w:rPr>
          <w:rFonts w:ascii="Times New Roman" w:hAnsi="Times New Roman" w:cs="Times New Roman"/>
          <w:sz w:val="24"/>
          <w:szCs w:val="24"/>
        </w:rPr>
        <w:t xml:space="preserve">, Kanem, Lac, Bar El Gazal), celui de </w:t>
      </w:r>
      <w:r w:rsidR="00F855BB" w:rsidRPr="00994A7B">
        <w:rPr>
          <w:rFonts w:ascii="Times New Roman" w:hAnsi="Times New Roman" w:cs="Times New Roman"/>
          <w:b/>
          <w:bCs/>
          <w:sz w:val="24"/>
          <w:szCs w:val="24"/>
        </w:rPr>
        <w:t>Moundou</w:t>
      </w:r>
      <w:r w:rsidR="00F855BB" w:rsidRPr="00994A7B">
        <w:rPr>
          <w:rFonts w:ascii="Times New Roman" w:hAnsi="Times New Roman" w:cs="Times New Roman"/>
          <w:sz w:val="24"/>
          <w:szCs w:val="24"/>
        </w:rPr>
        <w:t xml:space="preserve"> (Logone Occidental, Logone Oriental, </w:t>
      </w:r>
      <w:proofErr w:type="spellStart"/>
      <w:r w:rsidR="00F855BB" w:rsidRPr="00994A7B">
        <w:rPr>
          <w:rFonts w:ascii="Times New Roman" w:hAnsi="Times New Roman" w:cs="Times New Roman"/>
          <w:sz w:val="24"/>
          <w:szCs w:val="24"/>
        </w:rPr>
        <w:t>Tadjilé</w:t>
      </w:r>
      <w:proofErr w:type="spellEnd"/>
      <w:r w:rsidR="00F855BB" w:rsidRPr="00994A7B">
        <w:rPr>
          <w:rFonts w:ascii="Times New Roman" w:hAnsi="Times New Roman" w:cs="Times New Roman"/>
          <w:sz w:val="24"/>
          <w:szCs w:val="24"/>
        </w:rPr>
        <w:t xml:space="preserve">, Mayo </w:t>
      </w:r>
      <w:proofErr w:type="spellStart"/>
      <w:r w:rsidR="00F855BB" w:rsidRPr="00994A7B">
        <w:rPr>
          <w:rFonts w:ascii="Times New Roman" w:hAnsi="Times New Roman" w:cs="Times New Roman"/>
          <w:sz w:val="24"/>
          <w:szCs w:val="24"/>
        </w:rPr>
        <w:t>Kebbi</w:t>
      </w:r>
      <w:proofErr w:type="spellEnd"/>
      <w:r w:rsidR="00F855BB" w:rsidRPr="00994A7B">
        <w:rPr>
          <w:rFonts w:ascii="Times New Roman" w:hAnsi="Times New Roman" w:cs="Times New Roman"/>
          <w:sz w:val="24"/>
          <w:szCs w:val="24"/>
        </w:rPr>
        <w:t xml:space="preserve"> Ouest et Est, Moyen Chari) et le </w:t>
      </w:r>
      <w:r w:rsidR="00F855BB" w:rsidRPr="00994A7B">
        <w:rPr>
          <w:rFonts w:ascii="Times New Roman" w:hAnsi="Times New Roman" w:cs="Times New Roman"/>
          <w:b/>
          <w:bCs/>
          <w:sz w:val="24"/>
          <w:szCs w:val="24"/>
        </w:rPr>
        <w:t>pool de D’Abéché</w:t>
      </w:r>
      <w:r w:rsidR="00F855BB" w:rsidRPr="00994A7B">
        <w:rPr>
          <w:rFonts w:ascii="Times New Roman" w:hAnsi="Times New Roman" w:cs="Times New Roman"/>
          <w:sz w:val="24"/>
          <w:szCs w:val="24"/>
        </w:rPr>
        <w:t xml:space="preserve"> (</w:t>
      </w:r>
      <w:proofErr w:type="spellStart"/>
      <w:r w:rsidR="00F855BB" w:rsidRPr="00994A7B">
        <w:rPr>
          <w:rFonts w:ascii="Times New Roman" w:hAnsi="Times New Roman" w:cs="Times New Roman"/>
          <w:sz w:val="24"/>
          <w:szCs w:val="24"/>
        </w:rPr>
        <w:t>Batha</w:t>
      </w:r>
      <w:proofErr w:type="spellEnd"/>
      <w:r w:rsidR="00F855BB" w:rsidRPr="00994A7B">
        <w:rPr>
          <w:rFonts w:ascii="Times New Roman" w:hAnsi="Times New Roman" w:cs="Times New Roman"/>
          <w:sz w:val="24"/>
          <w:szCs w:val="24"/>
        </w:rPr>
        <w:t xml:space="preserve">, Borkou, Ennedi Est, Tibesti, </w:t>
      </w:r>
      <w:proofErr w:type="spellStart"/>
      <w:r w:rsidR="00F855BB" w:rsidRPr="00994A7B">
        <w:rPr>
          <w:rFonts w:ascii="Times New Roman" w:hAnsi="Times New Roman" w:cs="Times New Roman"/>
          <w:sz w:val="24"/>
          <w:szCs w:val="24"/>
        </w:rPr>
        <w:t>Wadi</w:t>
      </w:r>
      <w:proofErr w:type="spellEnd"/>
      <w:r w:rsidR="00F855BB" w:rsidRPr="00994A7B">
        <w:rPr>
          <w:rFonts w:ascii="Times New Roman" w:hAnsi="Times New Roman" w:cs="Times New Roman"/>
          <w:sz w:val="24"/>
          <w:szCs w:val="24"/>
        </w:rPr>
        <w:t xml:space="preserve"> </w:t>
      </w:r>
      <w:proofErr w:type="spellStart"/>
      <w:r w:rsidR="00F855BB" w:rsidRPr="00994A7B">
        <w:rPr>
          <w:rFonts w:ascii="Times New Roman" w:hAnsi="Times New Roman" w:cs="Times New Roman"/>
          <w:sz w:val="24"/>
          <w:szCs w:val="24"/>
        </w:rPr>
        <w:t>Fira</w:t>
      </w:r>
      <w:proofErr w:type="spellEnd"/>
      <w:r w:rsidR="00F855BB" w:rsidRPr="00994A7B">
        <w:rPr>
          <w:rFonts w:ascii="Times New Roman" w:hAnsi="Times New Roman" w:cs="Times New Roman"/>
          <w:sz w:val="24"/>
          <w:szCs w:val="24"/>
        </w:rPr>
        <w:t xml:space="preserve">, Ennedi Ouest, </w:t>
      </w:r>
      <w:proofErr w:type="spellStart"/>
      <w:r w:rsidR="00F855BB" w:rsidRPr="00994A7B">
        <w:rPr>
          <w:rFonts w:ascii="Times New Roman" w:hAnsi="Times New Roman" w:cs="Times New Roman"/>
          <w:sz w:val="24"/>
          <w:szCs w:val="24"/>
        </w:rPr>
        <w:t>Ouadai</w:t>
      </w:r>
      <w:proofErr w:type="spellEnd"/>
      <w:r w:rsidR="00F855BB" w:rsidRPr="00994A7B">
        <w:rPr>
          <w:rFonts w:ascii="Times New Roman" w:hAnsi="Times New Roman" w:cs="Times New Roman"/>
          <w:sz w:val="24"/>
          <w:szCs w:val="24"/>
        </w:rPr>
        <w:t xml:space="preserve">, </w:t>
      </w:r>
      <w:proofErr w:type="spellStart"/>
      <w:r w:rsidR="00F855BB" w:rsidRPr="00994A7B">
        <w:rPr>
          <w:rFonts w:ascii="Times New Roman" w:hAnsi="Times New Roman" w:cs="Times New Roman"/>
          <w:sz w:val="24"/>
          <w:szCs w:val="24"/>
        </w:rPr>
        <w:t>Guera</w:t>
      </w:r>
      <w:proofErr w:type="spellEnd"/>
      <w:r w:rsidR="00F855BB" w:rsidRPr="00994A7B">
        <w:rPr>
          <w:rFonts w:ascii="Times New Roman" w:hAnsi="Times New Roman" w:cs="Times New Roman"/>
          <w:sz w:val="24"/>
          <w:szCs w:val="24"/>
        </w:rPr>
        <w:t xml:space="preserve">, </w:t>
      </w:r>
      <w:proofErr w:type="spellStart"/>
      <w:r w:rsidR="00F855BB" w:rsidRPr="00994A7B">
        <w:rPr>
          <w:rFonts w:ascii="Times New Roman" w:hAnsi="Times New Roman" w:cs="Times New Roman"/>
          <w:sz w:val="24"/>
          <w:szCs w:val="24"/>
        </w:rPr>
        <w:t>Salamat</w:t>
      </w:r>
      <w:proofErr w:type="spellEnd"/>
      <w:r w:rsidR="00F855BB" w:rsidRPr="00994A7B">
        <w:rPr>
          <w:rFonts w:ascii="Times New Roman" w:hAnsi="Times New Roman" w:cs="Times New Roman"/>
          <w:sz w:val="24"/>
          <w:szCs w:val="24"/>
        </w:rPr>
        <w:t xml:space="preserve">, </w:t>
      </w:r>
      <w:proofErr w:type="spellStart"/>
      <w:r w:rsidR="00F855BB" w:rsidRPr="00994A7B">
        <w:rPr>
          <w:rFonts w:ascii="Times New Roman" w:hAnsi="Times New Roman" w:cs="Times New Roman"/>
          <w:sz w:val="24"/>
          <w:szCs w:val="24"/>
        </w:rPr>
        <w:t>Sila</w:t>
      </w:r>
      <w:proofErr w:type="spellEnd"/>
      <w:r w:rsidR="00F855BB" w:rsidRPr="00994A7B">
        <w:rPr>
          <w:rFonts w:ascii="Times New Roman" w:hAnsi="Times New Roman" w:cs="Times New Roman"/>
          <w:sz w:val="24"/>
          <w:szCs w:val="24"/>
        </w:rPr>
        <w:t>).</w:t>
      </w:r>
      <w:r w:rsidR="00D94BBB" w:rsidRPr="00994A7B">
        <w:rPr>
          <w:rFonts w:ascii="Times New Roman" w:hAnsi="Times New Roman" w:cs="Times New Roman"/>
          <w:sz w:val="24"/>
          <w:szCs w:val="24"/>
        </w:rPr>
        <w:t xml:space="preserve"> </w:t>
      </w:r>
    </w:p>
    <w:p w14:paraId="233A08C7" w14:textId="3E7B06C7" w:rsidR="00D94BBB" w:rsidRPr="00994A7B" w:rsidRDefault="00F855BB" w:rsidP="00994A7B">
      <w:pPr>
        <w:spacing w:before="240" w:after="120" w:line="360" w:lineRule="auto"/>
        <w:jc w:val="both"/>
        <w:rPr>
          <w:rFonts w:ascii="Times New Roman" w:hAnsi="Times New Roman" w:cs="Times New Roman"/>
          <w:sz w:val="24"/>
          <w:szCs w:val="24"/>
        </w:rPr>
      </w:pPr>
      <w:r w:rsidRPr="00994A7B">
        <w:rPr>
          <w:rFonts w:ascii="Times New Roman" w:hAnsi="Times New Roman" w:cs="Times New Roman"/>
          <w:sz w:val="24"/>
          <w:szCs w:val="24"/>
        </w:rPr>
        <w:t xml:space="preserve">Pendant 03 jours </w:t>
      </w:r>
      <w:r w:rsidR="003E3619" w:rsidRPr="00994A7B">
        <w:rPr>
          <w:rFonts w:ascii="Times New Roman" w:hAnsi="Times New Roman" w:cs="Times New Roman"/>
          <w:sz w:val="24"/>
          <w:szCs w:val="24"/>
        </w:rPr>
        <w:t xml:space="preserve">qu’a duré chacune des sessions, elles ont au total regroupé 92 participants, aussi bien les acteurs des 23 provinces que les membres du service de vaccination de la Direction de la Lutte contre la Maladie, la vaccination et la Surveillance Epidémiologique (DLMVSE). </w:t>
      </w:r>
    </w:p>
    <w:p w14:paraId="046F8AD8" w14:textId="4EC11EC1" w:rsidR="00D94BBB" w:rsidRPr="00994A7B" w:rsidRDefault="00D94BBB" w:rsidP="00994A7B">
      <w:pPr>
        <w:spacing w:before="120" w:after="120" w:line="360" w:lineRule="auto"/>
        <w:jc w:val="both"/>
        <w:rPr>
          <w:rFonts w:ascii="Times New Roman" w:hAnsi="Times New Roman" w:cs="Times New Roman"/>
          <w:sz w:val="24"/>
          <w:szCs w:val="24"/>
        </w:rPr>
      </w:pPr>
      <w:r w:rsidRPr="00994A7B">
        <w:rPr>
          <w:rFonts w:ascii="Times New Roman" w:hAnsi="Times New Roman" w:cs="Times New Roman"/>
          <w:sz w:val="24"/>
          <w:szCs w:val="24"/>
        </w:rPr>
        <w:t xml:space="preserve">L’objectif principal du séminaire était de renforcer les capacités des participants </w:t>
      </w:r>
      <w:r w:rsidR="003E3619" w:rsidRPr="00994A7B">
        <w:rPr>
          <w:rFonts w:ascii="Times New Roman" w:hAnsi="Times New Roman" w:cs="Times New Roman"/>
          <w:sz w:val="24"/>
          <w:szCs w:val="24"/>
        </w:rPr>
        <w:t xml:space="preserve">sur les approches du SBC </w:t>
      </w:r>
      <w:r w:rsidRPr="00994A7B">
        <w:rPr>
          <w:rFonts w:ascii="Times New Roman" w:hAnsi="Times New Roman" w:cs="Times New Roman"/>
          <w:sz w:val="24"/>
          <w:szCs w:val="24"/>
        </w:rPr>
        <w:t>en vue d’</w:t>
      </w:r>
      <w:r w:rsidR="003E3619" w:rsidRPr="00994A7B">
        <w:rPr>
          <w:rFonts w:ascii="Times New Roman" w:hAnsi="Times New Roman" w:cs="Times New Roman"/>
          <w:sz w:val="24"/>
          <w:szCs w:val="24"/>
        </w:rPr>
        <w:t xml:space="preserve">améliorer la génération de la demande des services vaccinaux. </w:t>
      </w:r>
    </w:p>
    <w:p w14:paraId="462E3E0F" w14:textId="3A6FBF69" w:rsidR="00D94BBB" w:rsidRPr="00994A7B" w:rsidRDefault="003E3619" w:rsidP="00994A7B">
      <w:pPr>
        <w:spacing w:before="120" w:after="120" w:line="360" w:lineRule="auto"/>
        <w:jc w:val="both"/>
        <w:rPr>
          <w:rFonts w:ascii="Times New Roman" w:hAnsi="Times New Roman" w:cs="Times New Roman"/>
          <w:sz w:val="24"/>
          <w:szCs w:val="24"/>
        </w:rPr>
      </w:pPr>
      <w:r w:rsidRPr="00994A7B">
        <w:rPr>
          <w:rFonts w:ascii="Times New Roman" w:hAnsi="Times New Roman" w:cs="Times New Roman"/>
          <w:sz w:val="24"/>
          <w:szCs w:val="24"/>
        </w:rPr>
        <w:t>Trois</w:t>
      </w:r>
      <w:r w:rsidR="00D94BBB" w:rsidRPr="00994A7B">
        <w:rPr>
          <w:rFonts w:ascii="Times New Roman" w:hAnsi="Times New Roman" w:cs="Times New Roman"/>
          <w:sz w:val="24"/>
          <w:szCs w:val="24"/>
        </w:rPr>
        <w:t xml:space="preserve"> (0</w:t>
      </w:r>
      <w:r w:rsidRPr="00994A7B">
        <w:rPr>
          <w:rFonts w:ascii="Times New Roman" w:hAnsi="Times New Roman" w:cs="Times New Roman"/>
          <w:sz w:val="24"/>
          <w:szCs w:val="24"/>
        </w:rPr>
        <w:t>3</w:t>
      </w:r>
      <w:r w:rsidR="00413EFE" w:rsidRPr="00994A7B">
        <w:rPr>
          <w:rFonts w:ascii="Times New Roman" w:hAnsi="Times New Roman" w:cs="Times New Roman"/>
          <w:sz w:val="24"/>
          <w:szCs w:val="24"/>
        </w:rPr>
        <w:t>) jours</w:t>
      </w:r>
      <w:r w:rsidR="00D94BBB" w:rsidRPr="00994A7B">
        <w:rPr>
          <w:rFonts w:ascii="Times New Roman" w:hAnsi="Times New Roman" w:cs="Times New Roman"/>
          <w:sz w:val="24"/>
          <w:szCs w:val="24"/>
        </w:rPr>
        <w:t xml:space="preserve"> durant</w:t>
      </w:r>
      <w:r w:rsidRPr="00994A7B">
        <w:rPr>
          <w:rFonts w:ascii="Times New Roman" w:hAnsi="Times New Roman" w:cs="Times New Roman"/>
          <w:sz w:val="24"/>
          <w:szCs w:val="24"/>
        </w:rPr>
        <w:t xml:space="preserve"> chaque session</w:t>
      </w:r>
      <w:r w:rsidR="00D94BBB" w:rsidRPr="00994A7B">
        <w:rPr>
          <w:rFonts w:ascii="Times New Roman" w:hAnsi="Times New Roman" w:cs="Times New Roman"/>
          <w:sz w:val="24"/>
          <w:szCs w:val="24"/>
        </w:rPr>
        <w:t xml:space="preserve">, les participants se sont familiarisés sur ces notions à travers des présentations ponctuées d’échanges et de cas pratiques. </w:t>
      </w:r>
    </w:p>
    <w:p w14:paraId="770FAB20" w14:textId="00408319" w:rsidR="00D94BBB" w:rsidRPr="00994A7B" w:rsidRDefault="00D94BBB" w:rsidP="00994A7B">
      <w:pPr>
        <w:spacing w:before="120" w:after="120" w:line="360" w:lineRule="auto"/>
        <w:jc w:val="both"/>
        <w:rPr>
          <w:rFonts w:ascii="Times New Roman" w:hAnsi="Times New Roman" w:cs="Times New Roman"/>
          <w:sz w:val="24"/>
          <w:szCs w:val="24"/>
        </w:rPr>
      </w:pPr>
      <w:r w:rsidRPr="00994A7B">
        <w:rPr>
          <w:rFonts w:ascii="Times New Roman" w:hAnsi="Times New Roman" w:cs="Times New Roman"/>
          <w:sz w:val="24"/>
          <w:szCs w:val="24"/>
        </w:rPr>
        <w:t xml:space="preserve">Le présent rapport rend compte du déroulement de la formation qui a été assurée par </w:t>
      </w:r>
      <w:r w:rsidR="003E3619" w:rsidRPr="00994A7B">
        <w:rPr>
          <w:rFonts w:ascii="Times New Roman" w:hAnsi="Times New Roman" w:cs="Times New Roman"/>
          <w:sz w:val="24"/>
          <w:szCs w:val="24"/>
        </w:rPr>
        <w:t>l’équipe de</w:t>
      </w:r>
      <w:r w:rsidR="00994A7B" w:rsidRPr="00994A7B">
        <w:rPr>
          <w:rFonts w:ascii="Times New Roman" w:hAnsi="Times New Roman" w:cs="Times New Roman"/>
          <w:sz w:val="24"/>
          <w:szCs w:val="24"/>
        </w:rPr>
        <w:t xml:space="preserve"> la </w:t>
      </w:r>
      <w:r w:rsidR="00994A7B" w:rsidRPr="00994A7B">
        <w:rPr>
          <w:rFonts w:ascii="Times New Roman" w:hAnsi="Times New Roman" w:cs="Times New Roman"/>
          <w:sz w:val="24"/>
          <w:szCs w:val="24"/>
        </w:rPr>
        <w:t>DLMVSE</w:t>
      </w:r>
      <w:r w:rsidR="003E3619" w:rsidRPr="00994A7B">
        <w:rPr>
          <w:rFonts w:ascii="Times New Roman" w:hAnsi="Times New Roman" w:cs="Times New Roman"/>
          <w:sz w:val="24"/>
          <w:szCs w:val="24"/>
        </w:rPr>
        <w:t xml:space="preserve"> et celle de </w:t>
      </w:r>
      <w:r w:rsidR="00994A7B" w:rsidRPr="00994A7B">
        <w:rPr>
          <w:rFonts w:ascii="Times New Roman" w:hAnsi="Times New Roman" w:cs="Times New Roman"/>
          <w:sz w:val="24"/>
          <w:szCs w:val="24"/>
        </w:rPr>
        <w:t>l’UNICE</w:t>
      </w:r>
      <w:r w:rsidR="00994A7B" w:rsidRPr="00994A7B">
        <w:rPr>
          <w:rFonts w:ascii="Times New Roman" w:hAnsi="Times New Roman" w:cs="Times New Roman"/>
          <w:sz w:val="24"/>
          <w:szCs w:val="24"/>
        </w:rPr>
        <w:t>F</w:t>
      </w:r>
      <w:r w:rsidRPr="00994A7B">
        <w:rPr>
          <w:rFonts w:ascii="Times New Roman" w:hAnsi="Times New Roman" w:cs="Times New Roman"/>
          <w:sz w:val="24"/>
          <w:szCs w:val="24"/>
        </w:rPr>
        <w:t>.</w:t>
      </w:r>
      <w:r w:rsidR="003E3619" w:rsidRPr="00994A7B">
        <w:rPr>
          <w:rFonts w:ascii="Times New Roman" w:hAnsi="Times New Roman" w:cs="Times New Roman"/>
          <w:sz w:val="24"/>
          <w:szCs w:val="24"/>
        </w:rPr>
        <w:t xml:space="preserve"> </w:t>
      </w:r>
    </w:p>
    <w:p w14:paraId="2F24D71F" w14:textId="4891F283" w:rsidR="00D94BBB" w:rsidRPr="00994A7B" w:rsidRDefault="00D94BBB" w:rsidP="00994A7B">
      <w:pPr>
        <w:spacing w:before="120" w:after="120" w:line="360" w:lineRule="auto"/>
        <w:jc w:val="both"/>
        <w:rPr>
          <w:rFonts w:ascii="Times New Roman" w:hAnsi="Times New Roman" w:cs="Times New Roman"/>
          <w:sz w:val="24"/>
          <w:szCs w:val="24"/>
        </w:rPr>
      </w:pPr>
      <w:r w:rsidRPr="00994A7B">
        <w:rPr>
          <w:rFonts w:ascii="Times New Roman" w:hAnsi="Times New Roman" w:cs="Times New Roman"/>
          <w:sz w:val="24"/>
          <w:szCs w:val="24"/>
        </w:rPr>
        <w:t>Le programme de déroulement d</w:t>
      </w:r>
      <w:r w:rsidR="003E3619" w:rsidRPr="00994A7B">
        <w:rPr>
          <w:rFonts w:ascii="Times New Roman" w:hAnsi="Times New Roman" w:cs="Times New Roman"/>
          <w:sz w:val="24"/>
          <w:szCs w:val="24"/>
        </w:rPr>
        <w:t xml:space="preserve">es sessions </w:t>
      </w:r>
      <w:r w:rsidRPr="00994A7B">
        <w:rPr>
          <w:rFonts w:ascii="Times New Roman" w:hAnsi="Times New Roman" w:cs="Times New Roman"/>
          <w:sz w:val="24"/>
          <w:szCs w:val="24"/>
        </w:rPr>
        <w:t xml:space="preserve">de formation est joint en annexe. </w:t>
      </w:r>
    </w:p>
    <w:p w14:paraId="335D9AB4" w14:textId="77777777" w:rsidR="00D94BBB" w:rsidRPr="00994A7B" w:rsidRDefault="00D94BBB" w:rsidP="00994A7B">
      <w:pPr>
        <w:spacing w:before="120" w:after="120" w:line="360" w:lineRule="auto"/>
        <w:jc w:val="both"/>
        <w:rPr>
          <w:rFonts w:ascii="Times New Roman" w:hAnsi="Times New Roman" w:cs="Times New Roman"/>
          <w:sz w:val="24"/>
          <w:szCs w:val="24"/>
        </w:rPr>
      </w:pPr>
      <w:r w:rsidRPr="00994A7B">
        <w:rPr>
          <w:rFonts w:ascii="Times New Roman" w:hAnsi="Times New Roman" w:cs="Times New Roman"/>
          <w:sz w:val="24"/>
          <w:szCs w:val="24"/>
        </w:rPr>
        <w:t>Il est structuré en cinq (05) points : (i) contexte de la mission ; (ii) objectifs et résultats escomptés ; (iii) déroulement de la formation ; (iv) synthèse de l’évaluation et (v) conclusion générale.</w:t>
      </w:r>
    </w:p>
    <w:p w14:paraId="2904A816" w14:textId="77777777" w:rsidR="00D94BBB" w:rsidRPr="00994A7B" w:rsidRDefault="00D94BBB" w:rsidP="00994A7B">
      <w:pPr>
        <w:spacing w:before="120" w:after="120" w:line="360" w:lineRule="auto"/>
        <w:jc w:val="both"/>
        <w:rPr>
          <w:rFonts w:ascii="Times New Roman" w:hAnsi="Times New Roman" w:cs="Times New Roman"/>
          <w:sz w:val="24"/>
          <w:szCs w:val="24"/>
        </w:rPr>
      </w:pPr>
    </w:p>
    <w:p w14:paraId="559855D5" w14:textId="77777777" w:rsidR="0050132C" w:rsidRPr="00994A7B" w:rsidRDefault="0050132C" w:rsidP="00994A7B">
      <w:pPr>
        <w:spacing w:before="120" w:after="120" w:line="360" w:lineRule="auto"/>
        <w:jc w:val="both"/>
        <w:rPr>
          <w:rFonts w:ascii="Times New Roman" w:hAnsi="Times New Roman" w:cs="Times New Roman"/>
          <w:sz w:val="24"/>
          <w:szCs w:val="24"/>
        </w:rPr>
      </w:pPr>
    </w:p>
    <w:p w14:paraId="7EAD6D29" w14:textId="77777777" w:rsidR="0050132C" w:rsidRPr="00994A7B" w:rsidRDefault="0050132C" w:rsidP="00994A7B">
      <w:pPr>
        <w:spacing w:before="120" w:after="120" w:line="360" w:lineRule="auto"/>
        <w:jc w:val="both"/>
        <w:rPr>
          <w:rFonts w:ascii="Times New Roman" w:hAnsi="Times New Roman" w:cs="Times New Roman"/>
          <w:sz w:val="24"/>
          <w:szCs w:val="24"/>
        </w:rPr>
      </w:pPr>
    </w:p>
    <w:p w14:paraId="32B10C6A" w14:textId="44F8A4CB" w:rsidR="00D94BBB" w:rsidRPr="00994A7B" w:rsidRDefault="00D94BBB" w:rsidP="00994A7B">
      <w:pPr>
        <w:pStyle w:val="Titre1"/>
        <w:numPr>
          <w:ilvl w:val="0"/>
          <w:numId w:val="3"/>
        </w:numPr>
        <w:tabs>
          <w:tab w:val="num" w:pos="360"/>
        </w:tabs>
        <w:spacing w:before="120" w:after="120" w:line="360" w:lineRule="auto"/>
        <w:ind w:left="0" w:firstLine="0"/>
        <w:rPr>
          <w:rFonts w:ascii="Times New Roman" w:hAnsi="Times New Roman" w:cs="Times New Roman"/>
          <w:b/>
          <w:bCs/>
          <w:color w:val="auto"/>
          <w:sz w:val="24"/>
          <w:szCs w:val="24"/>
        </w:rPr>
      </w:pPr>
      <w:bookmarkStart w:id="7" w:name="_Toc529706497"/>
      <w:bookmarkStart w:id="8" w:name="_Toc197420469"/>
      <w:r w:rsidRPr="00994A7B">
        <w:rPr>
          <w:rFonts w:ascii="Times New Roman" w:hAnsi="Times New Roman" w:cs="Times New Roman"/>
          <w:b/>
          <w:bCs/>
          <w:color w:val="auto"/>
          <w:sz w:val="24"/>
          <w:szCs w:val="24"/>
        </w:rPr>
        <w:lastRenderedPageBreak/>
        <w:t xml:space="preserve">Contexte </w:t>
      </w:r>
      <w:bookmarkEnd w:id="7"/>
      <w:r w:rsidR="00C44545" w:rsidRPr="00994A7B">
        <w:rPr>
          <w:rFonts w:ascii="Times New Roman" w:hAnsi="Times New Roman" w:cs="Times New Roman"/>
          <w:b/>
          <w:bCs/>
          <w:color w:val="auto"/>
          <w:sz w:val="24"/>
          <w:szCs w:val="24"/>
        </w:rPr>
        <w:t>et justification</w:t>
      </w:r>
      <w:bookmarkEnd w:id="8"/>
      <w:r w:rsidR="00C44545" w:rsidRPr="00994A7B">
        <w:rPr>
          <w:rFonts w:ascii="Times New Roman" w:hAnsi="Times New Roman" w:cs="Times New Roman"/>
          <w:b/>
          <w:bCs/>
          <w:color w:val="auto"/>
          <w:sz w:val="24"/>
          <w:szCs w:val="24"/>
        </w:rPr>
        <w:t xml:space="preserve"> </w:t>
      </w:r>
    </w:p>
    <w:p w14:paraId="56FF95A0" w14:textId="77777777" w:rsidR="003E3619" w:rsidRPr="00994A7B" w:rsidRDefault="003E3619" w:rsidP="00994A7B">
      <w:pPr>
        <w:spacing w:after="0" w:line="360" w:lineRule="auto"/>
        <w:jc w:val="both"/>
        <w:rPr>
          <w:rFonts w:ascii="Times New Roman" w:hAnsi="Times New Roman" w:cs="Times New Roman"/>
          <w:sz w:val="24"/>
          <w:szCs w:val="24"/>
        </w:rPr>
      </w:pPr>
      <w:r w:rsidRPr="00994A7B">
        <w:rPr>
          <w:rFonts w:ascii="Times New Roman" w:hAnsi="Times New Roman" w:cs="Times New Roman"/>
          <w:sz w:val="24"/>
          <w:szCs w:val="24"/>
        </w:rPr>
        <w:t xml:space="preserve">Dans sa quête d’amélioration continue de la santé de la population Tchadienne, le Ministère de la santé consent depuis plusieurs années des efforts considérables avec l’appui de ses partenaires dans la vaccination de routine. Les efforts ont permis d’améliorer les performances du PEV de routine ces dernières années. La couverture vaccinale en Pentavalent 3 (antigène traceur) est passée de 57% en 2017 à 67% en 2023, selon l’enquête de couverture vaccinale de 2023. Ces efforts quoique importants n’ont pas encore atteint l’objectif fixé par le pays (90%). La persistance des épidémies de polio et de rougeole démontre à souhait que des efforts supplémentaires sont </w:t>
      </w:r>
      <w:proofErr w:type="gramStart"/>
      <w:r w:rsidRPr="00994A7B">
        <w:rPr>
          <w:rFonts w:ascii="Times New Roman" w:hAnsi="Times New Roman" w:cs="Times New Roman"/>
          <w:sz w:val="24"/>
          <w:szCs w:val="24"/>
        </w:rPr>
        <w:t>nécessaire</w:t>
      </w:r>
      <w:proofErr w:type="gramEnd"/>
      <w:r w:rsidRPr="00994A7B">
        <w:rPr>
          <w:rFonts w:ascii="Times New Roman" w:hAnsi="Times New Roman" w:cs="Times New Roman"/>
          <w:sz w:val="24"/>
          <w:szCs w:val="24"/>
        </w:rPr>
        <w:t xml:space="preserve"> pour protéger les populations cibles.  </w:t>
      </w:r>
    </w:p>
    <w:p w14:paraId="27A32293" w14:textId="77777777" w:rsidR="00341F79" w:rsidRPr="00994A7B" w:rsidRDefault="003E3619" w:rsidP="00994A7B">
      <w:pPr>
        <w:spacing w:before="120" w:after="120" w:line="360" w:lineRule="auto"/>
        <w:jc w:val="both"/>
        <w:rPr>
          <w:rFonts w:ascii="Times New Roman" w:hAnsi="Times New Roman" w:cs="Times New Roman"/>
          <w:sz w:val="24"/>
          <w:szCs w:val="24"/>
        </w:rPr>
      </w:pPr>
      <w:r w:rsidRPr="00994A7B">
        <w:rPr>
          <w:rFonts w:ascii="Times New Roman" w:hAnsi="Times New Roman" w:cs="Times New Roman"/>
          <w:sz w:val="24"/>
          <w:szCs w:val="24"/>
        </w:rPr>
        <w:t xml:space="preserve">Pour surmonter les difficultés une approche intégrée prenant en compte l’offre de </w:t>
      </w:r>
      <w:proofErr w:type="gramStart"/>
      <w:r w:rsidRPr="00994A7B">
        <w:rPr>
          <w:rFonts w:ascii="Times New Roman" w:hAnsi="Times New Roman" w:cs="Times New Roman"/>
          <w:sz w:val="24"/>
          <w:szCs w:val="24"/>
        </w:rPr>
        <w:t>service vaccinaux</w:t>
      </w:r>
      <w:proofErr w:type="gramEnd"/>
      <w:r w:rsidRPr="00994A7B">
        <w:rPr>
          <w:rFonts w:ascii="Times New Roman" w:hAnsi="Times New Roman" w:cs="Times New Roman"/>
          <w:sz w:val="24"/>
          <w:szCs w:val="24"/>
        </w:rPr>
        <w:t xml:space="preserve"> et la génération de la demande, doit être adoptée. Dans cette optique la génération de la demande nécessite des actions planifiées et coordonnées rigoureusement en impliquant les communautés concernées. </w:t>
      </w:r>
    </w:p>
    <w:p w14:paraId="31DFCD29" w14:textId="68FA1A9D" w:rsidR="00D94BBB" w:rsidRPr="00994A7B" w:rsidRDefault="003E3619" w:rsidP="00994A7B">
      <w:pPr>
        <w:spacing w:before="120" w:after="120" w:line="360" w:lineRule="auto"/>
        <w:jc w:val="both"/>
        <w:rPr>
          <w:rFonts w:ascii="Times New Roman" w:hAnsi="Times New Roman" w:cs="Times New Roman"/>
          <w:sz w:val="24"/>
          <w:szCs w:val="24"/>
        </w:rPr>
      </w:pPr>
      <w:r w:rsidRPr="00994A7B">
        <w:rPr>
          <w:rFonts w:ascii="Times New Roman" w:hAnsi="Times New Roman" w:cs="Times New Roman"/>
          <w:sz w:val="24"/>
          <w:szCs w:val="24"/>
        </w:rPr>
        <w:t xml:space="preserve">C’est </w:t>
      </w:r>
      <w:r w:rsidR="00341F79" w:rsidRPr="00994A7B">
        <w:rPr>
          <w:rFonts w:ascii="Times New Roman" w:hAnsi="Times New Roman" w:cs="Times New Roman"/>
          <w:sz w:val="24"/>
          <w:szCs w:val="24"/>
        </w:rPr>
        <w:t>dans ce contexte</w:t>
      </w:r>
      <w:r w:rsidRPr="00994A7B">
        <w:rPr>
          <w:rFonts w:ascii="Times New Roman" w:hAnsi="Times New Roman" w:cs="Times New Roman"/>
          <w:sz w:val="24"/>
          <w:szCs w:val="24"/>
        </w:rPr>
        <w:t xml:space="preserve"> que la Direction de la Lutte Contre la Maladie, de la Vaccination et la Surveillance Epidémiologique (DLMVSE) avec l’appui technique et financier de l’UNICEF a initié la formation des formateurs composés des Points Focaux IEC et des Délégués Sanitaires des 23 provinces du pays, sur les approches de la communication pour le Changement Social et Comportemental en faveur de la vaccination</w:t>
      </w:r>
      <w:r w:rsidR="00D94BBB" w:rsidRPr="00994A7B">
        <w:rPr>
          <w:rFonts w:ascii="Times New Roman" w:hAnsi="Times New Roman" w:cs="Times New Roman"/>
          <w:sz w:val="24"/>
          <w:szCs w:val="24"/>
        </w:rPr>
        <w:t>.</w:t>
      </w:r>
    </w:p>
    <w:p w14:paraId="71CE672D" w14:textId="77777777" w:rsidR="00D94BBB" w:rsidRPr="00994A7B" w:rsidRDefault="00D94BBB" w:rsidP="00994A7B">
      <w:pPr>
        <w:pStyle w:val="Titre1"/>
        <w:numPr>
          <w:ilvl w:val="0"/>
          <w:numId w:val="3"/>
        </w:numPr>
        <w:tabs>
          <w:tab w:val="num" w:pos="360"/>
        </w:tabs>
        <w:spacing w:before="120" w:after="120" w:line="360" w:lineRule="auto"/>
        <w:ind w:left="0" w:firstLine="0"/>
        <w:rPr>
          <w:rFonts w:ascii="Times New Roman" w:hAnsi="Times New Roman" w:cs="Times New Roman"/>
          <w:b/>
          <w:bCs/>
          <w:color w:val="auto"/>
          <w:sz w:val="24"/>
          <w:szCs w:val="24"/>
        </w:rPr>
      </w:pPr>
      <w:bookmarkStart w:id="9" w:name="_Toc529706498"/>
      <w:bookmarkStart w:id="10" w:name="_Toc197420470"/>
      <w:r w:rsidRPr="00994A7B">
        <w:rPr>
          <w:rFonts w:ascii="Times New Roman" w:hAnsi="Times New Roman" w:cs="Times New Roman"/>
          <w:b/>
          <w:bCs/>
          <w:color w:val="auto"/>
          <w:sz w:val="24"/>
          <w:szCs w:val="24"/>
        </w:rPr>
        <w:t>Objectifs et résultats escomptés</w:t>
      </w:r>
      <w:bookmarkEnd w:id="9"/>
      <w:bookmarkEnd w:id="10"/>
    </w:p>
    <w:p w14:paraId="16590C8E" w14:textId="77777777" w:rsidR="00D94BBB" w:rsidRPr="00994A7B" w:rsidRDefault="00D94BBB" w:rsidP="00994A7B">
      <w:pPr>
        <w:pStyle w:val="Titre2"/>
        <w:numPr>
          <w:ilvl w:val="1"/>
          <w:numId w:val="3"/>
        </w:numPr>
        <w:tabs>
          <w:tab w:val="num" w:pos="360"/>
        </w:tabs>
        <w:spacing w:before="120" w:after="120" w:line="360" w:lineRule="auto"/>
        <w:ind w:left="0" w:hanging="229"/>
        <w:rPr>
          <w:rFonts w:ascii="Times New Roman" w:hAnsi="Times New Roman" w:cs="Times New Roman"/>
          <w:b/>
          <w:bCs/>
          <w:color w:val="auto"/>
          <w:sz w:val="24"/>
          <w:szCs w:val="24"/>
        </w:rPr>
      </w:pPr>
      <w:bookmarkStart w:id="11" w:name="_Toc529706499"/>
      <w:bookmarkStart w:id="12" w:name="_Toc197420471"/>
      <w:r w:rsidRPr="00994A7B">
        <w:rPr>
          <w:rFonts w:ascii="Times New Roman" w:hAnsi="Times New Roman" w:cs="Times New Roman"/>
          <w:b/>
          <w:bCs/>
          <w:color w:val="auto"/>
          <w:sz w:val="24"/>
          <w:szCs w:val="24"/>
        </w:rPr>
        <w:t>Objectif général</w:t>
      </w:r>
      <w:bookmarkEnd w:id="11"/>
      <w:bookmarkEnd w:id="12"/>
    </w:p>
    <w:p w14:paraId="3D8A9618" w14:textId="77777777" w:rsidR="00341F79" w:rsidRPr="00994A7B" w:rsidRDefault="00341F79" w:rsidP="00994A7B">
      <w:pPr>
        <w:spacing w:after="0" w:line="360" w:lineRule="auto"/>
        <w:jc w:val="both"/>
        <w:rPr>
          <w:rFonts w:ascii="Times New Roman" w:hAnsi="Times New Roman" w:cs="Times New Roman"/>
          <w:sz w:val="24"/>
          <w:szCs w:val="24"/>
        </w:rPr>
      </w:pPr>
      <w:bookmarkStart w:id="13" w:name="_Toc529706500"/>
      <w:r w:rsidRPr="00994A7B">
        <w:rPr>
          <w:rFonts w:ascii="Times New Roman" w:hAnsi="Times New Roman" w:cs="Times New Roman"/>
          <w:sz w:val="24"/>
          <w:szCs w:val="24"/>
        </w:rPr>
        <w:t xml:space="preserve">L’objectif général de la formation est de contribuer à la génération de la demande des services de vaccination au Tchad  </w:t>
      </w:r>
    </w:p>
    <w:p w14:paraId="424431E5" w14:textId="77777777" w:rsidR="00D94BBB" w:rsidRPr="00994A7B" w:rsidRDefault="00D94BBB" w:rsidP="00994A7B">
      <w:pPr>
        <w:pStyle w:val="Titre2"/>
        <w:numPr>
          <w:ilvl w:val="1"/>
          <w:numId w:val="3"/>
        </w:numPr>
        <w:tabs>
          <w:tab w:val="num" w:pos="360"/>
        </w:tabs>
        <w:spacing w:before="120" w:after="120" w:line="360" w:lineRule="auto"/>
        <w:ind w:left="0" w:hanging="229"/>
        <w:rPr>
          <w:rFonts w:ascii="Times New Roman" w:hAnsi="Times New Roman" w:cs="Times New Roman"/>
          <w:b/>
          <w:bCs/>
          <w:color w:val="auto"/>
          <w:sz w:val="24"/>
          <w:szCs w:val="24"/>
        </w:rPr>
      </w:pPr>
      <w:bookmarkStart w:id="14" w:name="_Toc197420472"/>
      <w:r w:rsidRPr="00994A7B">
        <w:rPr>
          <w:rFonts w:ascii="Times New Roman" w:hAnsi="Times New Roman" w:cs="Times New Roman"/>
          <w:b/>
          <w:bCs/>
          <w:color w:val="auto"/>
          <w:sz w:val="24"/>
          <w:szCs w:val="24"/>
        </w:rPr>
        <w:t>Objectifs spécifiques</w:t>
      </w:r>
      <w:bookmarkEnd w:id="13"/>
      <w:bookmarkEnd w:id="14"/>
    </w:p>
    <w:p w14:paraId="4D3AF508" w14:textId="431D1A85" w:rsidR="00D94BBB" w:rsidRPr="00994A7B" w:rsidRDefault="00D94BBB" w:rsidP="00994A7B">
      <w:pPr>
        <w:pStyle w:val="Text2"/>
        <w:spacing w:before="120" w:after="120" w:line="360" w:lineRule="auto"/>
        <w:ind w:left="0"/>
        <w:rPr>
          <w:rFonts w:ascii="Times New Roman" w:eastAsia="Batang" w:hAnsi="Times New Roman"/>
          <w:sz w:val="24"/>
          <w:szCs w:val="24"/>
          <w:lang w:eastAsia="fr-FR"/>
        </w:rPr>
      </w:pPr>
      <w:r w:rsidRPr="00994A7B">
        <w:rPr>
          <w:rFonts w:ascii="Times New Roman" w:eastAsia="Batang" w:hAnsi="Times New Roman"/>
          <w:sz w:val="24"/>
          <w:szCs w:val="24"/>
          <w:lang w:eastAsia="fr-FR"/>
        </w:rPr>
        <w:t xml:space="preserve">Plus spécifiquement, la session de formation devrait permettre </w:t>
      </w:r>
      <w:r w:rsidR="00341F79" w:rsidRPr="00994A7B">
        <w:rPr>
          <w:rFonts w:ascii="Times New Roman" w:eastAsia="Batang" w:hAnsi="Times New Roman"/>
          <w:sz w:val="24"/>
          <w:szCs w:val="24"/>
          <w:lang w:eastAsia="fr-FR"/>
        </w:rPr>
        <w:t>de</w:t>
      </w:r>
      <w:r w:rsidRPr="00994A7B">
        <w:rPr>
          <w:rFonts w:ascii="Times New Roman" w:eastAsia="Batang" w:hAnsi="Times New Roman"/>
          <w:sz w:val="24"/>
          <w:szCs w:val="24"/>
          <w:lang w:eastAsia="fr-FR"/>
        </w:rPr>
        <w:t xml:space="preserve"> :</w:t>
      </w:r>
    </w:p>
    <w:p w14:paraId="31D3A80D" w14:textId="1A1CF15D" w:rsidR="00341F79" w:rsidRPr="00994A7B" w:rsidRDefault="00994A7B" w:rsidP="00994A7B">
      <w:pPr>
        <w:pStyle w:val="Paragraphedeliste"/>
        <w:numPr>
          <w:ilvl w:val="0"/>
          <w:numId w:val="7"/>
        </w:numPr>
        <w:spacing w:after="0" w:line="360" w:lineRule="auto"/>
        <w:jc w:val="both"/>
        <w:rPr>
          <w:rFonts w:ascii="Times New Roman" w:hAnsi="Times New Roman" w:cs="Times New Roman"/>
          <w:sz w:val="24"/>
          <w:szCs w:val="24"/>
        </w:rPr>
      </w:pPr>
      <w:bookmarkStart w:id="15" w:name="_Toc529706501"/>
      <w:r w:rsidRPr="00994A7B">
        <w:rPr>
          <w:rFonts w:ascii="Times New Roman" w:hAnsi="Times New Roman" w:cs="Times New Roman"/>
          <w:sz w:val="24"/>
          <w:szCs w:val="24"/>
        </w:rPr>
        <w:t>Renforcer les</w:t>
      </w:r>
      <w:r w:rsidR="00341F79" w:rsidRPr="00994A7B">
        <w:rPr>
          <w:rFonts w:ascii="Times New Roman" w:hAnsi="Times New Roman" w:cs="Times New Roman"/>
          <w:sz w:val="24"/>
          <w:szCs w:val="24"/>
        </w:rPr>
        <w:t xml:space="preserve"> capacités des Points Focaux IEC (PFIEC) et les Délégués Sanitaires Provinciaux (DSP) sur les approches de SBC en faveur de la vaccination de routine ;</w:t>
      </w:r>
    </w:p>
    <w:p w14:paraId="1FE2D7A3" w14:textId="264E0CAA" w:rsidR="00341F79" w:rsidRPr="00994A7B" w:rsidRDefault="00341F79" w:rsidP="00994A7B">
      <w:pPr>
        <w:pStyle w:val="Paragraphedeliste"/>
        <w:numPr>
          <w:ilvl w:val="0"/>
          <w:numId w:val="7"/>
        </w:numPr>
        <w:spacing w:after="0" w:line="360" w:lineRule="auto"/>
        <w:jc w:val="both"/>
        <w:rPr>
          <w:rFonts w:ascii="Times New Roman" w:hAnsi="Times New Roman" w:cs="Times New Roman"/>
          <w:sz w:val="24"/>
          <w:szCs w:val="24"/>
        </w:rPr>
      </w:pPr>
      <w:r w:rsidRPr="00994A7B">
        <w:rPr>
          <w:rFonts w:ascii="Times New Roman" w:hAnsi="Times New Roman" w:cs="Times New Roman"/>
          <w:sz w:val="24"/>
          <w:szCs w:val="24"/>
        </w:rPr>
        <w:t xml:space="preserve">Contribuer au </w:t>
      </w:r>
      <w:r w:rsidR="00994A7B" w:rsidRPr="00994A7B">
        <w:rPr>
          <w:rFonts w:ascii="Times New Roman" w:hAnsi="Times New Roman" w:cs="Times New Roman"/>
          <w:sz w:val="24"/>
          <w:szCs w:val="24"/>
        </w:rPr>
        <w:t xml:space="preserve">développement des </w:t>
      </w:r>
      <w:r w:rsidRPr="00994A7B">
        <w:rPr>
          <w:rFonts w:ascii="Times New Roman" w:hAnsi="Times New Roman" w:cs="Times New Roman"/>
          <w:sz w:val="24"/>
          <w:szCs w:val="24"/>
        </w:rPr>
        <w:t xml:space="preserve">compétences des PF IEC et des DSP sur les techniques de planification des activités visant un changement social et comportemental ;   </w:t>
      </w:r>
    </w:p>
    <w:p w14:paraId="20F1D090" w14:textId="6509A880" w:rsidR="00ED27BB" w:rsidRPr="00994A7B" w:rsidRDefault="00341F79" w:rsidP="00994A7B">
      <w:pPr>
        <w:pStyle w:val="Paragraphedeliste"/>
        <w:numPr>
          <w:ilvl w:val="0"/>
          <w:numId w:val="7"/>
        </w:numPr>
        <w:spacing w:after="0" w:line="360" w:lineRule="auto"/>
        <w:jc w:val="both"/>
        <w:rPr>
          <w:rFonts w:ascii="Times New Roman" w:hAnsi="Times New Roman" w:cs="Times New Roman"/>
          <w:sz w:val="24"/>
          <w:szCs w:val="24"/>
        </w:rPr>
      </w:pPr>
      <w:r w:rsidRPr="00994A7B">
        <w:rPr>
          <w:rFonts w:ascii="Times New Roman" w:hAnsi="Times New Roman" w:cs="Times New Roman"/>
          <w:sz w:val="24"/>
          <w:szCs w:val="24"/>
        </w:rPr>
        <w:lastRenderedPageBreak/>
        <w:t>Améliorer leur connaissances/compétences sur les techniques d’animation des réseaux sociaux de leurs organisations.</w:t>
      </w:r>
      <w:bookmarkEnd w:id="15"/>
    </w:p>
    <w:p w14:paraId="25381EB6" w14:textId="77777777" w:rsidR="00CF1A05" w:rsidRPr="00994A7B" w:rsidRDefault="00CF1A05" w:rsidP="00994A7B">
      <w:pPr>
        <w:pStyle w:val="Paragraphedeliste"/>
        <w:spacing w:after="0" w:line="360" w:lineRule="auto"/>
        <w:ind w:left="1440"/>
        <w:jc w:val="both"/>
        <w:rPr>
          <w:rFonts w:ascii="Times New Roman" w:hAnsi="Times New Roman" w:cs="Times New Roman"/>
          <w:sz w:val="24"/>
          <w:szCs w:val="24"/>
        </w:rPr>
      </w:pPr>
    </w:p>
    <w:p w14:paraId="1B32E853" w14:textId="77777777" w:rsidR="00D94BBB" w:rsidRPr="00994A7B" w:rsidRDefault="00D94BBB" w:rsidP="00994A7B">
      <w:pPr>
        <w:pStyle w:val="Titre1"/>
        <w:numPr>
          <w:ilvl w:val="0"/>
          <w:numId w:val="3"/>
        </w:numPr>
        <w:tabs>
          <w:tab w:val="num" w:pos="360"/>
        </w:tabs>
        <w:spacing w:before="0" w:line="360" w:lineRule="auto"/>
        <w:ind w:left="0" w:firstLine="0"/>
        <w:rPr>
          <w:rFonts w:ascii="Times New Roman" w:hAnsi="Times New Roman" w:cs="Times New Roman"/>
          <w:b/>
          <w:bCs/>
          <w:color w:val="auto"/>
          <w:sz w:val="24"/>
          <w:szCs w:val="24"/>
        </w:rPr>
      </w:pPr>
      <w:bookmarkStart w:id="16" w:name="_Toc529706502"/>
      <w:bookmarkStart w:id="17" w:name="_Toc197420473"/>
      <w:r w:rsidRPr="00994A7B">
        <w:rPr>
          <w:rFonts w:ascii="Times New Roman" w:hAnsi="Times New Roman" w:cs="Times New Roman"/>
          <w:b/>
          <w:bCs/>
          <w:color w:val="auto"/>
          <w:sz w:val="24"/>
          <w:szCs w:val="24"/>
        </w:rPr>
        <w:t>Déroulement de la formation</w:t>
      </w:r>
      <w:bookmarkEnd w:id="16"/>
      <w:bookmarkEnd w:id="17"/>
    </w:p>
    <w:p w14:paraId="057ABC87" w14:textId="46E5FEC9" w:rsidR="00341F79" w:rsidRPr="00994A7B" w:rsidRDefault="00D94BBB" w:rsidP="00994A7B">
      <w:pPr>
        <w:pStyle w:val="Titre2"/>
        <w:numPr>
          <w:ilvl w:val="1"/>
          <w:numId w:val="3"/>
        </w:numPr>
        <w:tabs>
          <w:tab w:val="num" w:pos="360"/>
        </w:tabs>
        <w:spacing w:before="120" w:after="120" w:line="360" w:lineRule="auto"/>
        <w:ind w:left="0" w:hanging="229"/>
        <w:rPr>
          <w:rFonts w:ascii="Times New Roman" w:hAnsi="Times New Roman" w:cs="Times New Roman"/>
          <w:b/>
          <w:bCs/>
          <w:color w:val="auto"/>
          <w:sz w:val="24"/>
          <w:szCs w:val="24"/>
        </w:rPr>
      </w:pPr>
      <w:bookmarkStart w:id="18" w:name="_Toc529706503"/>
      <w:bookmarkStart w:id="19" w:name="_Toc197420474"/>
      <w:r w:rsidRPr="00994A7B">
        <w:rPr>
          <w:rFonts w:ascii="Times New Roman" w:hAnsi="Times New Roman" w:cs="Times New Roman"/>
          <w:b/>
          <w:bCs/>
          <w:color w:val="auto"/>
          <w:sz w:val="24"/>
          <w:szCs w:val="24"/>
        </w:rPr>
        <w:t>Contenu de la formation</w:t>
      </w:r>
      <w:bookmarkEnd w:id="18"/>
      <w:bookmarkEnd w:id="19"/>
    </w:p>
    <w:p w14:paraId="5791176C" w14:textId="044A26B8" w:rsidR="00341F79" w:rsidRPr="00994A7B" w:rsidRDefault="00D94BBB" w:rsidP="00994A7B">
      <w:pPr>
        <w:spacing w:line="360" w:lineRule="auto"/>
        <w:jc w:val="both"/>
        <w:rPr>
          <w:rFonts w:ascii="Times New Roman" w:hAnsi="Times New Roman" w:cs="Times New Roman"/>
          <w:sz w:val="24"/>
          <w:szCs w:val="24"/>
        </w:rPr>
      </w:pPr>
      <w:r w:rsidRPr="00994A7B">
        <w:rPr>
          <w:rFonts w:ascii="Times New Roman" w:hAnsi="Times New Roman" w:cs="Times New Roman"/>
          <w:sz w:val="24"/>
          <w:szCs w:val="24"/>
        </w:rPr>
        <w:t xml:space="preserve">Les modules de formation ont été conçus pour répondre aux objectifs spécifiques définis par les termes de références. Dans ce sens, </w:t>
      </w:r>
      <w:r w:rsidR="00341F79" w:rsidRPr="00994A7B">
        <w:rPr>
          <w:rFonts w:ascii="Times New Roman" w:hAnsi="Times New Roman" w:cs="Times New Roman"/>
          <w:sz w:val="24"/>
          <w:szCs w:val="24"/>
        </w:rPr>
        <w:t>dix</w:t>
      </w:r>
      <w:r w:rsidRPr="00994A7B">
        <w:rPr>
          <w:rFonts w:ascii="Times New Roman" w:hAnsi="Times New Roman" w:cs="Times New Roman"/>
          <w:sz w:val="24"/>
          <w:szCs w:val="24"/>
        </w:rPr>
        <w:t xml:space="preserve"> (</w:t>
      </w:r>
      <w:r w:rsidR="00341F79" w:rsidRPr="00994A7B">
        <w:rPr>
          <w:rFonts w:ascii="Times New Roman" w:hAnsi="Times New Roman" w:cs="Times New Roman"/>
          <w:sz w:val="24"/>
          <w:szCs w:val="24"/>
        </w:rPr>
        <w:t>10</w:t>
      </w:r>
      <w:r w:rsidRPr="00994A7B">
        <w:rPr>
          <w:rFonts w:ascii="Times New Roman" w:hAnsi="Times New Roman" w:cs="Times New Roman"/>
          <w:sz w:val="24"/>
          <w:szCs w:val="24"/>
        </w:rPr>
        <w:t xml:space="preserve">) </w:t>
      </w:r>
      <w:r w:rsidR="00341F79" w:rsidRPr="00994A7B">
        <w:rPr>
          <w:rFonts w:ascii="Times New Roman" w:hAnsi="Times New Roman" w:cs="Times New Roman"/>
          <w:sz w:val="24"/>
          <w:szCs w:val="24"/>
        </w:rPr>
        <w:t xml:space="preserve">principaux </w:t>
      </w:r>
      <w:r w:rsidRPr="00994A7B">
        <w:rPr>
          <w:rFonts w:ascii="Times New Roman" w:hAnsi="Times New Roman" w:cs="Times New Roman"/>
          <w:sz w:val="24"/>
          <w:szCs w:val="24"/>
        </w:rPr>
        <w:t xml:space="preserve">modules, à savoir : (i) </w:t>
      </w:r>
      <w:r w:rsidR="00341F79" w:rsidRPr="00994A7B">
        <w:rPr>
          <w:rFonts w:ascii="Times New Roman" w:hAnsi="Times New Roman" w:cs="Times New Roman"/>
          <w:sz w:val="24"/>
          <w:szCs w:val="24"/>
        </w:rPr>
        <w:t xml:space="preserve">Le passage de la C4D à la SBC (Shift) , (ii) Approche Centrée sur l’Humain et la </w:t>
      </w:r>
      <w:proofErr w:type="spellStart"/>
      <w:r w:rsidR="00341F79" w:rsidRPr="00994A7B">
        <w:rPr>
          <w:rFonts w:ascii="Times New Roman" w:hAnsi="Times New Roman" w:cs="Times New Roman"/>
          <w:sz w:val="24"/>
          <w:szCs w:val="24"/>
        </w:rPr>
        <w:t>Ludification</w:t>
      </w:r>
      <w:proofErr w:type="spellEnd"/>
      <w:r w:rsidR="009E1794" w:rsidRPr="00994A7B">
        <w:rPr>
          <w:rFonts w:ascii="Times New Roman" w:hAnsi="Times New Roman" w:cs="Times New Roman"/>
          <w:sz w:val="24"/>
          <w:szCs w:val="24"/>
        </w:rPr>
        <w:t> ; (iii) Hésitation</w:t>
      </w:r>
      <w:r w:rsidR="00341F79" w:rsidRPr="00994A7B">
        <w:rPr>
          <w:rFonts w:ascii="Times New Roman" w:hAnsi="Times New Roman" w:cs="Times New Roman"/>
          <w:sz w:val="24"/>
          <w:szCs w:val="24"/>
        </w:rPr>
        <w:t xml:space="preserve"> Vaccinale</w:t>
      </w:r>
      <w:r w:rsidR="009E1794" w:rsidRPr="00994A7B">
        <w:rPr>
          <w:rFonts w:ascii="Times New Roman" w:hAnsi="Times New Roman" w:cs="Times New Roman"/>
          <w:sz w:val="24"/>
          <w:szCs w:val="24"/>
        </w:rPr>
        <w:t xml:space="preserve"> ; (iv) </w:t>
      </w:r>
      <w:r w:rsidR="00341F79" w:rsidRPr="00994A7B">
        <w:rPr>
          <w:rFonts w:ascii="Times New Roman" w:hAnsi="Times New Roman" w:cs="Times New Roman"/>
          <w:sz w:val="24"/>
          <w:szCs w:val="24"/>
        </w:rPr>
        <w:t>Engagement Communautaire et Mobilisation Sociale</w:t>
      </w:r>
      <w:r w:rsidR="009E1794" w:rsidRPr="00994A7B">
        <w:rPr>
          <w:rFonts w:ascii="Times New Roman" w:hAnsi="Times New Roman" w:cs="Times New Roman"/>
          <w:sz w:val="24"/>
          <w:szCs w:val="24"/>
        </w:rPr>
        <w:t xml:space="preserve"> ; (v) </w:t>
      </w:r>
      <w:r w:rsidR="00341F79" w:rsidRPr="00994A7B">
        <w:rPr>
          <w:rFonts w:ascii="Times New Roman" w:hAnsi="Times New Roman" w:cs="Times New Roman"/>
          <w:sz w:val="24"/>
          <w:szCs w:val="24"/>
        </w:rPr>
        <w:t>Les Étapes d’un Plan de Communication</w:t>
      </w:r>
      <w:r w:rsidR="009E1794" w:rsidRPr="00994A7B">
        <w:rPr>
          <w:rFonts w:ascii="Times New Roman" w:hAnsi="Times New Roman" w:cs="Times New Roman"/>
          <w:sz w:val="24"/>
          <w:szCs w:val="24"/>
        </w:rPr>
        <w:t xml:space="preserve"> ; (vi) </w:t>
      </w:r>
      <w:r w:rsidR="00341F79" w:rsidRPr="00994A7B">
        <w:rPr>
          <w:rFonts w:ascii="Times New Roman" w:hAnsi="Times New Roman" w:cs="Times New Roman"/>
          <w:sz w:val="24"/>
          <w:szCs w:val="24"/>
        </w:rPr>
        <w:t>Engagement Communautaire Digital en Faveur de la Vaccination</w:t>
      </w:r>
      <w:r w:rsidR="009E1794" w:rsidRPr="00994A7B">
        <w:rPr>
          <w:rFonts w:ascii="Times New Roman" w:hAnsi="Times New Roman" w:cs="Times New Roman"/>
          <w:sz w:val="24"/>
          <w:szCs w:val="24"/>
        </w:rPr>
        <w:t xml:space="preserve"> ; (vii) </w:t>
      </w:r>
      <w:r w:rsidR="00341F79" w:rsidRPr="00994A7B">
        <w:rPr>
          <w:rFonts w:ascii="Times New Roman" w:hAnsi="Times New Roman" w:cs="Times New Roman"/>
          <w:sz w:val="24"/>
          <w:szCs w:val="24"/>
        </w:rPr>
        <w:t>Le Plaidoyer en Réponse à une Épidémie</w:t>
      </w:r>
      <w:r w:rsidR="009E1794" w:rsidRPr="00994A7B">
        <w:rPr>
          <w:rFonts w:ascii="Times New Roman" w:hAnsi="Times New Roman" w:cs="Times New Roman"/>
          <w:sz w:val="24"/>
          <w:szCs w:val="24"/>
        </w:rPr>
        <w:t xml:space="preserve"> ; (viii) </w:t>
      </w:r>
      <w:r w:rsidR="00341F79" w:rsidRPr="00994A7B">
        <w:rPr>
          <w:rFonts w:ascii="Times New Roman" w:hAnsi="Times New Roman" w:cs="Times New Roman"/>
          <w:sz w:val="24"/>
          <w:szCs w:val="24"/>
        </w:rPr>
        <w:t>Orientation sur les Activités SBC Transfrontalières</w:t>
      </w:r>
      <w:r w:rsidR="009E1794" w:rsidRPr="00994A7B">
        <w:rPr>
          <w:rFonts w:ascii="Times New Roman" w:hAnsi="Times New Roman" w:cs="Times New Roman"/>
          <w:sz w:val="24"/>
          <w:szCs w:val="24"/>
        </w:rPr>
        <w:t xml:space="preserve"> ; (ix) </w:t>
      </w:r>
      <w:r w:rsidR="00341F79" w:rsidRPr="00994A7B">
        <w:rPr>
          <w:rFonts w:ascii="Times New Roman" w:hAnsi="Times New Roman" w:cs="Times New Roman"/>
          <w:sz w:val="24"/>
          <w:szCs w:val="24"/>
        </w:rPr>
        <w:t>La Gestion des Données lors des AVS Polio</w:t>
      </w:r>
      <w:r w:rsidR="009E1794" w:rsidRPr="00994A7B">
        <w:rPr>
          <w:rFonts w:ascii="Times New Roman" w:hAnsi="Times New Roman" w:cs="Times New Roman"/>
          <w:sz w:val="24"/>
          <w:szCs w:val="24"/>
        </w:rPr>
        <w:t xml:space="preserve"> ; (x) </w:t>
      </w:r>
      <w:r w:rsidR="00341F79" w:rsidRPr="00994A7B">
        <w:rPr>
          <w:rFonts w:ascii="Times New Roman" w:hAnsi="Times New Roman" w:cs="Times New Roman"/>
          <w:sz w:val="24"/>
          <w:szCs w:val="24"/>
        </w:rPr>
        <w:t>Gestion de la Désinformation lors des Épidémies de Polio</w:t>
      </w:r>
      <w:r w:rsidR="00C44545" w:rsidRPr="00994A7B">
        <w:rPr>
          <w:rFonts w:ascii="Times New Roman" w:hAnsi="Times New Roman" w:cs="Times New Roman"/>
          <w:sz w:val="24"/>
          <w:szCs w:val="24"/>
        </w:rPr>
        <w:t>.</w:t>
      </w:r>
    </w:p>
    <w:p w14:paraId="1C9BE57D" w14:textId="77777777" w:rsidR="00D94BBB" w:rsidRPr="00994A7B" w:rsidRDefault="00D94BBB" w:rsidP="00994A7B">
      <w:pPr>
        <w:pStyle w:val="Default"/>
        <w:spacing w:before="120" w:after="120" w:line="360" w:lineRule="auto"/>
        <w:jc w:val="both"/>
        <w:rPr>
          <w:rFonts w:ascii="Times New Roman" w:hAnsi="Times New Roman" w:cs="Times New Roman"/>
          <w:lang w:val="fr-CA"/>
        </w:rPr>
      </w:pPr>
      <w:r w:rsidRPr="00994A7B">
        <w:rPr>
          <w:rFonts w:ascii="Times New Roman" w:hAnsi="Times New Roman" w:cs="Times New Roman"/>
          <w:lang w:val="fr-CA"/>
        </w:rPr>
        <w:t>Sur le plan méthodologique, la démarche des formateurs a été fondée sur le principe de l’apprentissage par la pratique ou méthode andragogique et participative qui est la plus adaptée pour la formation des adultes professionnels. Dans ce sens, des exemples pratiques ont été alliés avec des concepts théoriques pour amener les participants à maitriser les principaux concepts et à échanger et partager leurs expériences. Des travaux pratiques ont été réalisés en appui aux</w:t>
      </w:r>
      <w:r w:rsidRPr="00994A7B">
        <w:rPr>
          <w:rFonts w:ascii="Times New Roman" w:hAnsi="Times New Roman" w:cs="Times New Roman"/>
        </w:rPr>
        <w:t xml:space="preserve"> présentations théoriques. Les différents modules ont été présentés à travers des supports PowerPoint et ponctués d’échanges. </w:t>
      </w:r>
    </w:p>
    <w:p w14:paraId="23BF9E8A" w14:textId="77777777" w:rsidR="00D94BBB" w:rsidRPr="00994A7B" w:rsidRDefault="00D94BBB" w:rsidP="00994A7B">
      <w:pPr>
        <w:pStyle w:val="Default"/>
        <w:spacing w:before="120" w:after="120" w:line="360" w:lineRule="auto"/>
        <w:jc w:val="both"/>
        <w:rPr>
          <w:rFonts w:ascii="Times New Roman" w:hAnsi="Times New Roman" w:cs="Times New Roman"/>
        </w:rPr>
      </w:pPr>
      <w:r w:rsidRPr="00994A7B">
        <w:rPr>
          <w:rFonts w:ascii="Times New Roman" w:hAnsi="Times New Roman" w:cs="Times New Roman"/>
        </w:rPr>
        <w:t xml:space="preserve">Les différents modules ont fait l’objet de préparation d’un support pédagogique qui a été mis à la disposition des participants à la fin de la formation. </w:t>
      </w:r>
    </w:p>
    <w:p w14:paraId="0931DB78" w14:textId="76DD7E2B" w:rsidR="00D94BBB" w:rsidRPr="00994A7B" w:rsidRDefault="00D94BBB" w:rsidP="00994A7B">
      <w:pPr>
        <w:pStyle w:val="Default"/>
        <w:spacing w:before="120" w:after="120" w:line="360" w:lineRule="auto"/>
        <w:jc w:val="both"/>
        <w:rPr>
          <w:rFonts w:ascii="Times New Roman" w:hAnsi="Times New Roman" w:cs="Times New Roman"/>
        </w:rPr>
      </w:pPr>
      <w:r w:rsidRPr="00994A7B">
        <w:rPr>
          <w:rFonts w:ascii="Times New Roman" w:hAnsi="Times New Roman" w:cs="Times New Roman"/>
        </w:rPr>
        <w:t>Sur le plan organisationnel, les travaux se sont déroulés en journées continues. La journée de formation va de 08 heures 30 minutes à 1</w:t>
      </w:r>
      <w:r w:rsidR="009E1794" w:rsidRPr="00994A7B">
        <w:rPr>
          <w:rFonts w:ascii="Times New Roman" w:hAnsi="Times New Roman" w:cs="Times New Roman"/>
        </w:rPr>
        <w:t>7</w:t>
      </w:r>
      <w:r w:rsidRPr="00994A7B">
        <w:rPr>
          <w:rFonts w:ascii="Times New Roman" w:hAnsi="Times New Roman" w:cs="Times New Roman"/>
        </w:rPr>
        <w:t xml:space="preserve"> heures, avec une pause-café de 30 minutes entre</w:t>
      </w:r>
      <w:r w:rsidR="009E1794" w:rsidRPr="00994A7B">
        <w:rPr>
          <w:rFonts w:ascii="Times New Roman" w:hAnsi="Times New Roman" w:cs="Times New Roman"/>
        </w:rPr>
        <w:t xml:space="preserve"> 10H00 et </w:t>
      </w:r>
      <w:r w:rsidRPr="00994A7B">
        <w:rPr>
          <w:rFonts w:ascii="Times New Roman" w:hAnsi="Times New Roman" w:cs="Times New Roman"/>
        </w:rPr>
        <w:t>10</w:t>
      </w:r>
      <w:r w:rsidR="009E1794" w:rsidRPr="00994A7B">
        <w:rPr>
          <w:rFonts w:ascii="Times New Roman" w:hAnsi="Times New Roman" w:cs="Times New Roman"/>
        </w:rPr>
        <w:t>H</w:t>
      </w:r>
      <w:r w:rsidRPr="00994A7B">
        <w:rPr>
          <w:rFonts w:ascii="Times New Roman" w:hAnsi="Times New Roman" w:cs="Times New Roman"/>
        </w:rPr>
        <w:t>30 et une pause déjeuner d’une heure entre 13</w:t>
      </w:r>
      <w:r w:rsidR="009E1794" w:rsidRPr="00994A7B">
        <w:rPr>
          <w:rFonts w:ascii="Times New Roman" w:hAnsi="Times New Roman" w:cs="Times New Roman"/>
        </w:rPr>
        <w:t>H00 et 14H00</w:t>
      </w:r>
      <w:r w:rsidRPr="00994A7B">
        <w:rPr>
          <w:rFonts w:ascii="Times New Roman" w:hAnsi="Times New Roman" w:cs="Times New Roman"/>
        </w:rPr>
        <w:t>.</w:t>
      </w:r>
    </w:p>
    <w:p w14:paraId="24FF0ABE" w14:textId="3FA99D08" w:rsidR="00ED27BB" w:rsidRPr="00994A7B" w:rsidRDefault="00D94BBB" w:rsidP="00994A7B">
      <w:pPr>
        <w:pStyle w:val="Default"/>
        <w:spacing w:before="120" w:after="120" w:line="360" w:lineRule="auto"/>
        <w:jc w:val="both"/>
        <w:rPr>
          <w:rFonts w:ascii="Times New Roman" w:hAnsi="Times New Roman" w:cs="Times New Roman"/>
        </w:rPr>
      </w:pPr>
      <w:r w:rsidRPr="00994A7B">
        <w:rPr>
          <w:rFonts w:ascii="Times New Roman" w:hAnsi="Times New Roman" w:cs="Times New Roman"/>
        </w:rPr>
        <w:t xml:space="preserve">Les contenus des modules dispensés et des travaux pratiques réalisés peuvent être synthétisés comme suit : </w:t>
      </w:r>
    </w:p>
    <w:p w14:paraId="003B9916" w14:textId="57743294" w:rsidR="009E1794" w:rsidRPr="00994A7B" w:rsidRDefault="009E1794" w:rsidP="00994A7B">
      <w:pPr>
        <w:pStyle w:val="Titre3"/>
        <w:spacing w:line="360" w:lineRule="auto"/>
        <w:rPr>
          <w:rFonts w:ascii="Times New Roman" w:eastAsiaTheme="minorHAnsi" w:hAnsi="Times New Roman" w:cs="Times New Roman"/>
          <w:b/>
          <w:bCs/>
          <w:color w:val="auto"/>
          <w:sz w:val="24"/>
          <w:szCs w:val="24"/>
        </w:rPr>
      </w:pPr>
      <w:bookmarkStart w:id="20" w:name="_Toc189731677"/>
      <w:bookmarkStart w:id="21" w:name="_Toc197420475"/>
      <w:r w:rsidRPr="00994A7B">
        <w:rPr>
          <w:rFonts w:ascii="Times New Roman" w:eastAsiaTheme="minorHAnsi" w:hAnsi="Times New Roman" w:cs="Times New Roman"/>
          <w:b/>
          <w:bCs/>
          <w:color w:val="auto"/>
          <w:sz w:val="24"/>
          <w:szCs w:val="24"/>
        </w:rPr>
        <w:t>3.1.1 Le passage de la C4D à la SBC (Shift)</w:t>
      </w:r>
      <w:bookmarkEnd w:id="20"/>
      <w:bookmarkEnd w:id="21"/>
    </w:p>
    <w:p w14:paraId="096C9931" w14:textId="77777777" w:rsidR="009E1794" w:rsidRPr="00994A7B" w:rsidRDefault="009E1794" w:rsidP="00994A7B">
      <w:pPr>
        <w:spacing w:line="360" w:lineRule="auto"/>
        <w:jc w:val="both"/>
        <w:rPr>
          <w:rFonts w:ascii="Times New Roman" w:hAnsi="Times New Roman" w:cs="Times New Roman"/>
          <w:sz w:val="24"/>
          <w:szCs w:val="24"/>
        </w:rPr>
      </w:pPr>
      <w:r w:rsidRPr="00994A7B">
        <w:rPr>
          <w:rFonts w:ascii="Times New Roman" w:hAnsi="Times New Roman" w:cs="Times New Roman"/>
          <w:sz w:val="24"/>
          <w:szCs w:val="24"/>
        </w:rPr>
        <w:t xml:space="preserve">Dans ce module, le facilitateur a expliqué l’évolution du Changement Social et Comportemental (SBC) à l’UNICEF, qui ne se limite plus à la simple sensibilisation. Il est ressorti que le SBC intègre désormais des approches basées sur la science comportementale et </w:t>
      </w:r>
      <w:r w:rsidRPr="00994A7B">
        <w:rPr>
          <w:rFonts w:ascii="Times New Roman" w:hAnsi="Times New Roman" w:cs="Times New Roman"/>
          <w:sz w:val="24"/>
          <w:szCs w:val="24"/>
        </w:rPr>
        <w:lastRenderedPageBreak/>
        <w:t>la conception centrée sur l’humain (ACH). L’objectif est d’utiliser les données et la recherche pour mieux comprendre les motivations et encourager des changements durables. Le facilitateur a présenté cinq approches clés (ACH, déviance positive, Ludification, changement collectif, science comportemental) qui permettent d’adapter les interventions aux contextes locaux et d’aller au-delà de la simple transmission d’informations.</w:t>
      </w:r>
    </w:p>
    <w:p w14:paraId="263DB49F" w14:textId="7645B8C3" w:rsidR="009E1794" w:rsidRPr="00994A7B" w:rsidRDefault="009E1794" w:rsidP="00994A7B">
      <w:pPr>
        <w:pStyle w:val="Titre3"/>
        <w:spacing w:line="360" w:lineRule="auto"/>
        <w:rPr>
          <w:rFonts w:ascii="Times New Roman" w:eastAsiaTheme="minorHAnsi" w:hAnsi="Times New Roman" w:cs="Times New Roman"/>
          <w:b/>
          <w:bCs/>
          <w:color w:val="auto"/>
          <w:sz w:val="24"/>
          <w:szCs w:val="24"/>
        </w:rPr>
      </w:pPr>
      <w:bookmarkStart w:id="22" w:name="_Toc189731678"/>
      <w:bookmarkStart w:id="23" w:name="_Toc197420476"/>
      <w:r w:rsidRPr="00994A7B">
        <w:rPr>
          <w:rFonts w:ascii="Times New Roman" w:eastAsiaTheme="minorHAnsi" w:hAnsi="Times New Roman" w:cs="Times New Roman"/>
          <w:b/>
          <w:bCs/>
          <w:color w:val="auto"/>
          <w:sz w:val="24"/>
          <w:szCs w:val="24"/>
        </w:rPr>
        <w:t>3.1.2 L’Approche Centrée sur l’Humain et la Ludification</w:t>
      </w:r>
      <w:bookmarkEnd w:id="22"/>
      <w:bookmarkEnd w:id="23"/>
    </w:p>
    <w:p w14:paraId="52218D42" w14:textId="2BBC1AC4" w:rsidR="009E1794" w:rsidRPr="00994A7B" w:rsidRDefault="009E1794" w:rsidP="00994A7B">
      <w:pPr>
        <w:spacing w:line="360" w:lineRule="auto"/>
        <w:jc w:val="both"/>
        <w:rPr>
          <w:rFonts w:ascii="Times New Roman" w:hAnsi="Times New Roman" w:cs="Times New Roman"/>
          <w:sz w:val="24"/>
          <w:szCs w:val="24"/>
        </w:rPr>
      </w:pPr>
      <w:r w:rsidRPr="00994A7B">
        <w:rPr>
          <w:rFonts w:ascii="Times New Roman" w:hAnsi="Times New Roman" w:cs="Times New Roman"/>
          <w:sz w:val="24"/>
          <w:szCs w:val="24"/>
        </w:rPr>
        <w:t>Ce module a mis en avant deux concepts : la conception centrée sur l’humain (HCD) et la ludification. Le facilitateur a expliqué que la HCD repose sur l’écoute des populations pour concevoir des solutions adaptées à leurs réalités. Il est ressorti que cette approche suit quatre étapes : collecte des besoins, génération d’idées, test des solutions et amélioration progressive. Ensuite, il a montré comment la ludification, qui s’appuie sur des mécanismes de jeu (points, récompenses, reconnaissance), favorise l’engagement des communautés. Il a insisté sur l’importance de privilégier la reconnaissance sociale plutôt que les incitations matérielles.</w:t>
      </w:r>
    </w:p>
    <w:p w14:paraId="6C34FCBC" w14:textId="7477A35C" w:rsidR="009E1794" w:rsidRPr="00994A7B" w:rsidRDefault="009E1794" w:rsidP="00994A7B">
      <w:pPr>
        <w:pStyle w:val="Titre3"/>
        <w:spacing w:line="360" w:lineRule="auto"/>
        <w:rPr>
          <w:rFonts w:ascii="Times New Roman" w:eastAsiaTheme="minorHAnsi" w:hAnsi="Times New Roman" w:cs="Times New Roman"/>
          <w:b/>
          <w:bCs/>
          <w:color w:val="auto"/>
          <w:sz w:val="24"/>
          <w:szCs w:val="24"/>
        </w:rPr>
      </w:pPr>
      <w:bookmarkStart w:id="24" w:name="_Toc189731679"/>
      <w:bookmarkStart w:id="25" w:name="_Toc197420477"/>
      <w:r w:rsidRPr="00994A7B">
        <w:rPr>
          <w:rFonts w:ascii="Times New Roman" w:eastAsiaTheme="minorHAnsi" w:hAnsi="Times New Roman" w:cs="Times New Roman"/>
          <w:b/>
          <w:bCs/>
          <w:color w:val="auto"/>
          <w:sz w:val="24"/>
          <w:szCs w:val="24"/>
        </w:rPr>
        <w:t>3.1.3 L’Hésitation Vaccinale</w:t>
      </w:r>
      <w:bookmarkEnd w:id="24"/>
      <w:bookmarkEnd w:id="25"/>
    </w:p>
    <w:p w14:paraId="47D09761" w14:textId="77777777" w:rsidR="009E1794" w:rsidRPr="00994A7B" w:rsidRDefault="009E1794" w:rsidP="00994A7B">
      <w:pPr>
        <w:spacing w:line="360" w:lineRule="auto"/>
        <w:jc w:val="both"/>
        <w:rPr>
          <w:rFonts w:ascii="Times New Roman" w:hAnsi="Times New Roman" w:cs="Times New Roman"/>
          <w:sz w:val="24"/>
          <w:szCs w:val="24"/>
        </w:rPr>
      </w:pPr>
      <w:r w:rsidRPr="00994A7B">
        <w:rPr>
          <w:rFonts w:ascii="Times New Roman" w:hAnsi="Times New Roman" w:cs="Times New Roman"/>
          <w:sz w:val="24"/>
          <w:szCs w:val="24"/>
        </w:rPr>
        <w:t>Dans ce module, il est ressorti que l’hésitation vaccinale varie entre acceptation et refus total, avec une majorité de personnes nécessitant plus d’informations avant de se décider. Le facilitateur a expliqué que cette hésitation repose sur plusieurs facteurs comme la perception du risque, la confiance au système de santé et l’accessibilité des services. Il a montré que la collecte et l’analyse des données communautaires permettent d’identifier les freins et d’adapter les stratégies de communication. Il a insisté sur l’importance d’engager les leaders communautaires et d’améliorer l’expérience des bénéficiaires pour renforcer la demande en vaccination.</w:t>
      </w:r>
    </w:p>
    <w:p w14:paraId="284C5169" w14:textId="10031AAC" w:rsidR="009E1794" w:rsidRPr="00994A7B" w:rsidRDefault="009E1794" w:rsidP="00994A7B">
      <w:pPr>
        <w:pStyle w:val="Titre3"/>
        <w:spacing w:line="360" w:lineRule="auto"/>
        <w:rPr>
          <w:rFonts w:ascii="Times New Roman" w:eastAsiaTheme="minorHAnsi" w:hAnsi="Times New Roman" w:cs="Times New Roman"/>
          <w:b/>
          <w:bCs/>
          <w:color w:val="auto"/>
          <w:sz w:val="24"/>
          <w:szCs w:val="24"/>
        </w:rPr>
      </w:pPr>
      <w:bookmarkStart w:id="26" w:name="_Toc189731680"/>
      <w:bookmarkStart w:id="27" w:name="_Toc197420478"/>
      <w:r w:rsidRPr="00994A7B">
        <w:rPr>
          <w:rFonts w:ascii="Times New Roman" w:eastAsiaTheme="minorHAnsi" w:hAnsi="Times New Roman" w:cs="Times New Roman"/>
          <w:b/>
          <w:bCs/>
          <w:color w:val="auto"/>
          <w:sz w:val="24"/>
          <w:szCs w:val="24"/>
        </w:rPr>
        <w:t>3.1.4 Engagement Communautaire et Mobilisation Sociale</w:t>
      </w:r>
      <w:bookmarkEnd w:id="26"/>
      <w:bookmarkEnd w:id="27"/>
    </w:p>
    <w:p w14:paraId="12DBF593" w14:textId="77777777" w:rsidR="009E1794" w:rsidRPr="00994A7B" w:rsidRDefault="009E1794" w:rsidP="00994A7B">
      <w:pPr>
        <w:spacing w:line="360" w:lineRule="auto"/>
        <w:jc w:val="both"/>
        <w:rPr>
          <w:rFonts w:ascii="Times New Roman" w:hAnsi="Times New Roman" w:cs="Times New Roman"/>
          <w:sz w:val="24"/>
          <w:szCs w:val="24"/>
        </w:rPr>
      </w:pPr>
      <w:r w:rsidRPr="00994A7B">
        <w:rPr>
          <w:rFonts w:ascii="Times New Roman" w:hAnsi="Times New Roman" w:cs="Times New Roman"/>
          <w:sz w:val="24"/>
          <w:szCs w:val="24"/>
        </w:rPr>
        <w:t xml:space="preserve">Ce module a mis en avant le rôle clé des communautés dans la réussite du PEV de routine et des campagnes de vaccination. Le facilitateur a expliqué qu’au lieu de les considérer comme de simples cibles, il est essentiel de les impliquer dans la planification et la mise en œuvre des interventions. Il est ressorti que plusieurs approches doivent être combinées : la </w:t>
      </w:r>
      <w:proofErr w:type="spellStart"/>
      <w:r w:rsidRPr="00994A7B">
        <w:rPr>
          <w:rFonts w:ascii="Times New Roman" w:hAnsi="Times New Roman" w:cs="Times New Roman"/>
          <w:sz w:val="24"/>
          <w:szCs w:val="24"/>
        </w:rPr>
        <w:t>co</w:t>
      </w:r>
      <w:proofErr w:type="spellEnd"/>
      <w:r w:rsidRPr="00994A7B">
        <w:rPr>
          <w:rFonts w:ascii="Times New Roman" w:hAnsi="Times New Roman" w:cs="Times New Roman"/>
          <w:sz w:val="24"/>
          <w:szCs w:val="24"/>
        </w:rPr>
        <w:t>-création, l’activation des réseaux et la mobilisation sociale. Il a insisté sur le fait que la vaccination doit devenir une norme sociale et que l’engagement communautaire doit être maintenu avant, pendant et après les campagnes pour obtenir leur impact.</w:t>
      </w:r>
    </w:p>
    <w:p w14:paraId="1B68C65F" w14:textId="52F129F3" w:rsidR="009E1794" w:rsidRPr="00994A7B" w:rsidRDefault="009E1794" w:rsidP="00994A7B">
      <w:pPr>
        <w:pStyle w:val="Titre3"/>
        <w:spacing w:line="360" w:lineRule="auto"/>
        <w:rPr>
          <w:rFonts w:ascii="Times New Roman" w:eastAsiaTheme="minorHAnsi" w:hAnsi="Times New Roman" w:cs="Times New Roman"/>
          <w:b/>
          <w:bCs/>
          <w:color w:val="auto"/>
          <w:sz w:val="24"/>
          <w:szCs w:val="24"/>
        </w:rPr>
      </w:pPr>
      <w:bookmarkStart w:id="28" w:name="_Toc189731681"/>
      <w:bookmarkStart w:id="29" w:name="_Toc197420479"/>
      <w:r w:rsidRPr="00994A7B">
        <w:rPr>
          <w:rFonts w:ascii="Times New Roman" w:eastAsiaTheme="minorHAnsi" w:hAnsi="Times New Roman" w:cs="Times New Roman"/>
          <w:b/>
          <w:bCs/>
          <w:color w:val="auto"/>
          <w:sz w:val="24"/>
          <w:szCs w:val="24"/>
        </w:rPr>
        <w:lastRenderedPageBreak/>
        <w:t>3.1.5 Les Étapes d’un Plan de Communication</w:t>
      </w:r>
      <w:bookmarkEnd w:id="28"/>
      <w:bookmarkEnd w:id="29"/>
    </w:p>
    <w:p w14:paraId="1D8EE64F" w14:textId="77777777" w:rsidR="009E1794" w:rsidRPr="00994A7B" w:rsidRDefault="009E1794" w:rsidP="00994A7B">
      <w:pPr>
        <w:spacing w:line="360" w:lineRule="auto"/>
        <w:jc w:val="both"/>
        <w:rPr>
          <w:rFonts w:ascii="Times New Roman" w:hAnsi="Times New Roman" w:cs="Times New Roman"/>
          <w:sz w:val="24"/>
          <w:szCs w:val="24"/>
        </w:rPr>
      </w:pPr>
      <w:r w:rsidRPr="00994A7B">
        <w:rPr>
          <w:rFonts w:ascii="Times New Roman" w:hAnsi="Times New Roman" w:cs="Times New Roman"/>
          <w:sz w:val="24"/>
          <w:szCs w:val="24"/>
        </w:rPr>
        <w:t>Dans ce module, le facilitateur a détaillé les six étapes nécessaires pour élaborer un plan de communication efficace en soutien à la vaccination. Il est ressorti que cela commence par une analyse du contexte et des populations cibles afin d’identifier les défis et les acteurs clés. Ensuite, il a montré comment définir des objectifs précis et choisir des stratégies adaptées, comme la communication numérique et la gestion des rumeurs. Enfin, il a insisté sur l’importance du suivi et de l’évaluation pour ajuster les actions et garantir leur impact sur l’adhésion aux vaccins.</w:t>
      </w:r>
    </w:p>
    <w:p w14:paraId="0E26163B" w14:textId="516B58A2" w:rsidR="009E1794" w:rsidRPr="00994A7B" w:rsidRDefault="009E1794" w:rsidP="00994A7B">
      <w:pPr>
        <w:pStyle w:val="Titre3"/>
        <w:spacing w:line="360" w:lineRule="auto"/>
        <w:rPr>
          <w:rFonts w:ascii="Times New Roman" w:eastAsiaTheme="minorHAnsi" w:hAnsi="Times New Roman" w:cs="Times New Roman"/>
          <w:b/>
          <w:bCs/>
          <w:color w:val="auto"/>
          <w:sz w:val="24"/>
          <w:szCs w:val="24"/>
        </w:rPr>
      </w:pPr>
      <w:bookmarkStart w:id="30" w:name="_Toc189731682"/>
      <w:bookmarkStart w:id="31" w:name="_Toc197420480"/>
      <w:r w:rsidRPr="00994A7B">
        <w:rPr>
          <w:rFonts w:ascii="Times New Roman" w:eastAsiaTheme="minorHAnsi" w:hAnsi="Times New Roman" w:cs="Times New Roman"/>
          <w:b/>
          <w:bCs/>
          <w:color w:val="auto"/>
          <w:sz w:val="24"/>
          <w:szCs w:val="24"/>
        </w:rPr>
        <w:t>3.1.6 Engagement Communautaire Digital en Faveur de la Vaccination</w:t>
      </w:r>
      <w:bookmarkEnd w:id="30"/>
      <w:bookmarkEnd w:id="31"/>
    </w:p>
    <w:p w14:paraId="28F246D8" w14:textId="378A6F62" w:rsidR="009E1794" w:rsidRPr="00994A7B" w:rsidRDefault="009E1794" w:rsidP="00994A7B">
      <w:pPr>
        <w:spacing w:line="360" w:lineRule="auto"/>
        <w:jc w:val="both"/>
        <w:rPr>
          <w:rFonts w:ascii="Times New Roman" w:hAnsi="Times New Roman" w:cs="Times New Roman"/>
          <w:sz w:val="24"/>
          <w:szCs w:val="24"/>
        </w:rPr>
      </w:pPr>
      <w:r w:rsidRPr="00994A7B">
        <w:rPr>
          <w:rFonts w:ascii="Times New Roman" w:hAnsi="Times New Roman" w:cs="Times New Roman"/>
          <w:sz w:val="24"/>
          <w:szCs w:val="24"/>
        </w:rPr>
        <w:t>Au cours de ce module, le facilitateur a mis en avant le rôle du digital dans la lutte contre les maladies évitables par la vaccination comme la polio. Il est ressorti que la communication numérique repose sur trois actions : informer, activer les influenceurs et encourager la participation en ligne. Il a expliqué que des plateformes comme WhatsApp et Facebook sont essentielles pour partager du contenu, surveiller les rumeurs et coordonner les actions. Il a aussi insisté sur la nécessité de bien planifier ces campagnes numériques, d’évaluer leur impact et de partager les résultats pour renforcer la transparence et l’engagement des communautés.</w:t>
      </w:r>
    </w:p>
    <w:p w14:paraId="71949718" w14:textId="346C4312" w:rsidR="009E1794" w:rsidRPr="00994A7B" w:rsidRDefault="009E1794" w:rsidP="00994A7B">
      <w:pPr>
        <w:pStyle w:val="Titre3"/>
        <w:spacing w:line="360" w:lineRule="auto"/>
        <w:rPr>
          <w:rFonts w:ascii="Times New Roman" w:hAnsi="Times New Roman" w:cs="Times New Roman"/>
          <w:b/>
          <w:bCs/>
          <w:color w:val="44546A" w:themeColor="text2"/>
          <w:sz w:val="24"/>
          <w:szCs w:val="24"/>
        </w:rPr>
      </w:pPr>
      <w:bookmarkStart w:id="32" w:name="_Toc189731683"/>
      <w:bookmarkStart w:id="33" w:name="_Toc197420481"/>
      <w:r w:rsidRPr="00994A7B">
        <w:rPr>
          <w:rFonts w:ascii="Times New Roman" w:eastAsiaTheme="minorHAnsi" w:hAnsi="Times New Roman" w:cs="Times New Roman"/>
          <w:b/>
          <w:bCs/>
          <w:color w:val="auto"/>
          <w:sz w:val="24"/>
          <w:szCs w:val="24"/>
        </w:rPr>
        <w:t>3.1.7 Le Plaidoyer en Réponse à une Épidémie</w:t>
      </w:r>
      <w:bookmarkEnd w:id="32"/>
      <w:bookmarkEnd w:id="33"/>
    </w:p>
    <w:p w14:paraId="6C75709F" w14:textId="77777777" w:rsidR="009E1794" w:rsidRPr="00994A7B" w:rsidRDefault="009E1794" w:rsidP="00994A7B">
      <w:pPr>
        <w:spacing w:line="360" w:lineRule="auto"/>
        <w:jc w:val="both"/>
        <w:rPr>
          <w:rFonts w:ascii="Times New Roman" w:hAnsi="Times New Roman" w:cs="Times New Roman"/>
          <w:sz w:val="24"/>
          <w:szCs w:val="24"/>
        </w:rPr>
      </w:pPr>
      <w:r w:rsidRPr="00994A7B">
        <w:rPr>
          <w:rFonts w:ascii="Times New Roman" w:hAnsi="Times New Roman" w:cs="Times New Roman"/>
          <w:sz w:val="24"/>
          <w:szCs w:val="24"/>
        </w:rPr>
        <w:t>Dans ce module, le facilitateur a expliqué que le plaidoyer est un levier très important pour mobiliser les autorités et assurer une réponse efficace contre la poliomyélite. Il est ressorti que pour être efficace, il doit s’appuyer sur des objectifs clairs, une analyse des parties prenantes et l’identification d’alliés stratégiques. Il a montré que les tactiques incluent le dialogue avec les décideurs, les déclarations publiques et les campagnes médiatiques. Enfin, il a insisté sur le rôle du plaidoyer dans la mobilisation de financements et l’accélération des interventions d’urgence.</w:t>
      </w:r>
    </w:p>
    <w:p w14:paraId="706E7C2B" w14:textId="40CD2034" w:rsidR="009E1794" w:rsidRPr="00994A7B" w:rsidRDefault="009E1794" w:rsidP="00994A7B">
      <w:pPr>
        <w:pStyle w:val="Titre3"/>
        <w:spacing w:line="360" w:lineRule="auto"/>
        <w:rPr>
          <w:rFonts w:ascii="Times New Roman" w:eastAsiaTheme="minorHAnsi" w:hAnsi="Times New Roman" w:cs="Times New Roman"/>
          <w:b/>
          <w:bCs/>
          <w:color w:val="auto"/>
          <w:sz w:val="24"/>
          <w:szCs w:val="24"/>
        </w:rPr>
      </w:pPr>
      <w:bookmarkStart w:id="34" w:name="_Toc189731684"/>
      <w:bookmarkStart w:id="35" w:name="_Toc197420482"/>
      <w:r w:rsidRPr="00994A7B">
        <w:rPr>
          <w:rFonts w:ascii="Times New Roman" w:eastAsiaTheme="minorHAnsi" w:hAnsi="Times New Roman" w:cs="Times New Roman"/>
          <w:b/>
          <w:bCs/>
          <w:color w:val="auto"/>
          <w:sz w:val="24"/>
          <w:szCs w:val="24"/>
        </w:rPr>
        <w:t>3.1.8 Orientation sur les Activités SBC Transfrontalières</w:t>
      </w:r>
      <w:bookmarkEnd w:id="34"/>
      <w:bookmarkEnd w:id="35"/>
    </w:p>
    <w:p w14:paraId="599E79ED" w14:textId="77777777" w:rsidR="009E1794" w:rsidRPr="00994A7B" w:rsidRDefault="009E1794" w:rsidP="00994A7B">
      <w:pPr>
        <w:spacing w:line="360" w:lineRule="auto"/>
        <w:jc w:val="both"/>
        <w:rPr>
          <w:rFonts w:ascii="Times New Roman" w:hAnsi="Times New Roman" w:cs="Times New Roman"/>
          <w:sz w:val="24"/>
          <w:szCs w:val="24"/>
        </w:rPr>
      </w:pPr>
      <w:r w:rsidRPr="00994A7B">
        <w:rPr>
          <w:rFonts w:ascii="Times New Roman" w:hAnsi="Times New Roman" w:cs="Times New Roman"/>
          <w:sz w:val="24"/>
          <w:szCs w:val="24"/>
        </w:rPr>
        <w:t xml:space="preserve">Ce module a mis en évidence l’importance de la coopération entre les pays frontaliers pour améliorer les indicateurs du PEV de routine et pour lutter efficacement contre la poliomyélite. Le facilitateur a présenté trois priorités : la microplanification, le plaidoyer local et les activités opérationnelles. Il est ressorti que la microplanification permet d’identifier les groupes cibles et les ressources influentes, tandis que le plaidoyer vise à engager les autorités </w:t>
      </w:r>
      <w:r w:rsidRPr="00994A7B">
        <w:rPr>
          <w:rFonts w:ascii="Times New Roman" w:hAnsi="Times New Roman" w:cs="Times New Roman"/>
          <w:sz w:val="24"/>
          <w:szCs w:val="24"/>
        </w:rPr>
        <w:lastRenderedPageBreak/>
        <w:t>pour faciliter les interventions. Enfin, il a insisté sur l’importance d’une coordination entre pays pour harmoniser les messages et mobiliser les communautés dans les zones transfrontalières.</w:t>
      </w:r>
    </w:p>
    <w:p w14:paraId="2FB86020" w14:textId="07C831C7" w:rsidR="009E1794" w:rsidRPr="00994A7B" w:rsidRDefault="009E1794" w:rsidP="00994A7B">
      <w:pPr>
        <w:pStyle w:val="Titre3"/>
        <w:spacing w:line="360" w:lineRule="auto"/>
        <w:rPr>
          <w:rFonts w:ascii="Times New Roman" w:eastAsiaTheme="minorHAnsi" w:hAnsi="Times New Roman" w:cs="Times New Roman"/>
          <w:b/>
          <w:bCs/>
          <w:color w:val="auto"/>
          <w:sz w:val="24"/>
          <w:szCs w:val="24"/>
        </w:rPr>
      </w:pPr>
      <w:bookmarkStart w:id="36" w:name="_Toc189731685"/>
      <w:bookmarkStart w:id="37" w:name="_Toc197420483"/>
      <w:r w:rsidRPr="00994A7B">
        <w:rPr>
          <w:rFonts w:ascii="Times New Roman" w:eastAsiaTheme="minorHAnsi" w:hAnsi="Times New Roman" w:cs="Times New Roman"/>
          <w:b/>
          <w:bCs/>
          <w:color w:val="auto"/>
          <w:sz w:val="24"/>
          <w:szCs w:val="24"/>
        </w:rPr>
        <w:t>3.1.9 La Gestion des Données lors des AVS Polio</w:t>
      </w:r>
      <w:bookmarkEnd w:id="36"/>
      <w:bookmarkEnd w:id="37"/>
    </w:p>
    <w:p w14:paraId="4F4C7C19" w14:textId="77777777" w:rsidR="009E1794" w:rsidRPr="00994A7B" w:rsidRDefault="009E1794" w:rsidP="00994A7B">
      <w:pPr>
        <w:spacing w:line="360" w:lineRule="auto"/>
        <w:jc w:val="both"/>
        <w:rPr>
          <w:rFonts w:ascii="Times New Roman" w:hAnsi="Times New Roman" w:cs="Times New Roman"/>
          <w:sz w:val="24"/>
          <w:szCs w:val="24"/>
        </w:rPr>
      </w:pPr>
      <w:r w:rsidRPr="00994A7B">
        <w:rPr>
          <w:rFonts w:ascii="Times New Roman" w:hAnsi="Times New Roman" w:cs="Times New Roman"/>
          <w:sz w:val="24"/>
          <w:szCs w:val="24"/>
        </w:rPr>
        <w:t>Au cours de ce module, le facilitateur a mis en avant l’importance des données dans l’évaluation des campagnes de vaccination. Il est ressorti que des outils comme le tableau de bord AFRO permettent de suivre la couverture vaccinale avant, pendant et après les interventions. Il a montré que le monitorage indépendant (MI) aide à identifier les enfants non vaccinés et leurs raisons, tandis que le LQAS évalue la qualité des campagnes. Enfin, il a insisté sur l’importance d’une prise de décision basée sur les données pour améliorer la performance des campagnes et atteindre une couverture optimale.</w:t>
      </w:r>
    </w:p>
    <w:p w14:paraId="4441A811" w14:textId="48EC0AFE" w:rsidR="009E1794" w:rsidRPr="00994A7B" w:rsidRDefault="009E1794" w:rsidP="00994A7B">
      <w:pPr>
        <w:pStyle w:val="Titre3"/>
        <w:spacing w:line="360" w:lineRule="auto"/>
        <w:rPr>
          <w:rFonts w:ascii="Times New Roman" w:eastAsiaTheme="minorHAnsi" w:hAnsi="Times New Roman" w:cs="Times New Roman"/>
          <w:b/>
          <w:bCs/>
          <w:color w:val="auto"/>
          <w:sz w:val="24"/>
          <w:szCs w:val="24"/>
        </w:rPr>
      </w:pPr>
      <w:bookmarkStart w:id="38" w:name="_Toc189731686"/>
      <w:bookmarkStart w:id="39" w:name="_Toc197420484"/>
      <w:r w:rsidRPr="00994A7B">
        <w:rPr>
          <w:rFonts w:ascii="Times New Roman" w:eastAsiaTheme="minorHAnsi" w:hAnsi="Times New Roman" w:cs="Times New Roman"/>
          <w:b/>
          <w:bCs/>
          <w:color w:val="auto"/>
          <w:sz w:val="24"/>
          <w:szCs w:val="24"/>
        </w:rPr>
        <w:t>3.1.10 Gestion de la Désinformation lors des Épidémies de Polio</w:t>
      </w:r>
      <w:bookmarkEnd w:id="38"/>
      <w:bookmarkEnd w:id="39"/>
    </w:p>
    <w:p w14:paraId="36B4942A" w14:textId="361ADD54" w:rsidR="00ED27BB" w:rsidRPr="00994A7B" w:rsidRDefault="009E1794" w:rsidP="00994A7B">
      <w:pPr>
        <w:spacing w:line="360" w:lineRule="auto"/>
        <w:jc w:val="both"/>
        <w:rPr>
          <w:rFonts w:ascii="Times New Roman" w:hAnsi="Times New Roman" w:cs="Times New Roman"/>
          <w:sz w:val="24"/>
          <w:szCs w:val="24"/>
        </w:rPr>
      </w:pPr>
      <w:r w:rsidRPr="00994A7B">
        <w:rPr>
          <w:rFonts w:ascii="Times New Roman" w:hAnsi="Times New Roman" w:cs="Times New Roman"/>
          <w:sz w:val="24"/>
          <w:szCs w:val="24"/>
        </w:rPr>
        <w:t>Dans ce module, le facilitateur a souligné que la désinformation est un défi qui peut freiner l’adhésion aux vaccins. Il est ressorti que la lutte contre ce phénomène nécessite une approche structurée, incluant la mise en place d’équipes dédiées et d’outils d’écoute sociale pour surveiller et analyser les rumeurs. Il a aussi expliqué l’importance d’évaluer les risques avant d’y répondre, en utilisant différentes stratégies comme l’orientation du débat ou la démystification. Enfin, il a insisté sur la nécessité d’une coordination entre les autorités, les médias et les partenaires communautaires pour assurer une communication efficace et crédible.</w:t>
      </w:r>
    </w:p>
    <w:p w14:paraId="5D7AA916" w14:textId="75D5EDE6" w:rsidR="00D94BBB" w:rsidRPr="00994A7B" w:rsidRDefault="00D94BBB" w:rsidP="00994A7B">
      <w:pPr>
        <w:pStyle w:val="Titre1"/>
        <w:numPr>
          <w:ilvl w:val="0"/>
          <w:numId w:val="3"/>
        </w:numPr>
        <w:tabs>
          <w:tab w:val="num" w:pos="360"/>
        </w:tabs>
        <w:spacing w:before="120" w:after="120" w:line="360" w:lineRule="auto"/>
        <w:ind w:left="0" w:firstLine="0"/>
        <w:rPr>
          <w:rFonts w:ascii="Times New Roman" w:hAnsi="Times New Roman" w:cs="Times New Roman"/>
          <w:b/>
          <w:bCs/>
          <w:color w:val="auto"/>
          <w:sz w:val="24"/>
          <w:szCs w:val="24"/>
        </w:rPr>
      </w:pPr>
      <w:bookmarkStart w:id="40" w:name="_Toc197420485"/>
      <w:r w:rsidRPr="00994A7B">
        <w:rPr>
          <w:rFonts w:ascii="Times New Roman" w:hAnsi="Times New Roman" w:cs="Times New Roman"/>
          <w:b/>
          <w:bCs/>
          <w:color w:val="auto"/>
          <w:sz w:val="24"/>
          <w:szCs w:val="24"/>
        </w:rPr>
        <w:t>Synthèse de l’évaluation</w:t>
      </w:r>
      <w:r w:rsidR="00C44545" w:rsidRPr="00994A7B">
        <w:rPr>
          <w:rFonts w:ascii="Times New Roman" w:hAnsi="Times New Roman" w:cs="Times New Roman"/>
          <w:b/>
          <w:bCs/>
          <w:color w:val="auto"/>
          <w:sz w:val="24"/>
          <w:szCs w:val="24"/>
        </w:rPr>
        <w:t xml:space="preserve"> prétest et post test</w:t>
      </w:r>
      <w:bookmarkStart w:id="41" w:name="_Toc529706510"/>
      <w:bookmarkEnd w:id="40"/>
      <w:r w:rsidR="00C44545" w:rsidRPr="00994A7B">
        <w:rPr>
          <w:rFonts w:ascii="Times New Roman" w:hAnsi="Times New Roman" w:cs="Times New Roman"/>
          <w:b/>
          <w:bCs/>
          <w:color w:val="auto"/>
          <w:sz w:val="24"/>
          <w:szCs w:val="24"/>
        </w:rPr>
        <w:t xml:space="preserve"> </w:t>
      </w:r>
      <w:bookmarkEnd w:id="41"/>
      <w:r w:rsidRPr="00994A7B">
        <w:rPr>
          <w:rFonts w:ascii="Times New Roman" w:hAnsi="Times New Roman" w:cs="Times New Roman"/>
          <w:b/>
          <w:bCs/>
          <w:color w:val="auto"/>
          <w:sz w:val="24"/>
          <w:szCs w:val="24"/>
        </w:rPr>
        <w:t xml:space="preserve"> </w:t>
      </w:r>
    </w:p>
    <w:p w14:paraId="764E0608" w14:textId="77777777" w:rsidR="00ED27BB" w:rsidRPr="00994A7B" w:rsidRDefault="00ED27BB" w:rsidP="00994A7B">
      <w:pPr>
        <w:pStyle w:val="Default"/>
        <w:spacing w:before="120" w:after="120" w:line="360" w:lineRule="auto"/>
        <w:jc w:val="both"/>
        <w:rPr>
          <w:rFonts w:ascii="Times New Roman" w:hAnsi="Times New Roman" w:cs="Times New Roman"/>
        </w:rPr>
      </w:pPr>
    </w:p>
    <w:p w14:paraId="5E41F5B8" w14:textId="171AB2E7" w:rsidR="0050132C" w:rsidRPr="00994A7B" w:rsidRDefault="00ED27BB" w:rsidP="00994A7B">
      <w:pPr>
        <w:pStyle w:val="Default"/>
        <w:spacing w:before="120" w:after="120" w:line="360" w:lineRule="auto"/>
        <w:jc w:val="both"/>
        <w:rPr>
          <w:rFonts w:ascii="Times New Roman" w:hAnsi="Times New Roman" w:cs="Times New Roman"/>
        </w:rPr>
      </w:pPr>
      <w:r w:rsidRPr="00994A7B">
        <w:rPr>
          <w:rFonts w:ascii="Times New Roman" w:hAnsi="Times New Roman" w:cs="Times New Roman"/>
          <w:noProof/>
          <w:lang w:eastAsia="fr-FR"/>
        </w:rPr>
        <w:drawing>
          <wp:anchor distT="0" distB="0" distL="114300" distR="114300" simplePos="0" relativeHeight="251658752" behindDoc="0" locked="0" layoutInCell="1" allowOverlap="1" wp14:anchorId="21C0D82B" wp14:editId="108B8440">
            <wp:simplePos x="0" y="0"/>
            <wp:positionH relativeFrom="column">
              <wp:posOffset>-1905</wp:posOffset>
            </wp:positionH>
            <wp:positionV relativeFrom="paragraph">
              <wp:posOffset>198120</wp:posOffset>
            </wp:positionV>
            <wp:extent cx="3238500" cy="2236470"/>
            <wp:effectExtent l="0" t="0" r="0" b="0"/>
            <wp:wrapSquare wrapText="bothSides"/>
            <wp:docPr id="1699343110" name="Graphique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562B08F-1EA0-6D7B-AFAD-1425DF7638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50132C" w:rsidRPr="00994A7B">
        <w:rPr>
          <w:rFonts w:ascii="Times New Roman" w:hAnsi="Times New Roman" w:cs="Times New Roman"/>
        </w:rPr>
        <w:t xml:space="preserve">L’analyse du graphique comparant les résultats du </w:t>
      </w:r>
      <w:r w:rsidR="0050132C" w:rsidRPr="00994A7B">
        <w:rPr>
          <w:rFonts w:ascii="Times New Roman" w:hAnsi="Times New Roman" w:cs="Times New Roman"/>
          <w:b/>
          <w:bCs/>
        </w:rPr>
        <w:t>prétest</w:t>
      </w:r>
      <w:r w:rsidR="0050132C" w:rsidRPr="00994A7B">
        <w:rPr>
          <w:rFonts w:ascii="Times New Roman" w:hAnsi="Times New Roman" w:cs="Times New Roman"/>
        </w:rPr>
        <w:t xml:space="preserve"> et du </w:t>
      </w:r>
      <w:r w:rsidR="0050132C" w:rsidRPr="00994A7B">
        <w:rPr>
          <w:rFonts w:ascii="Times New Roman" w:hAnsi="Times New Roman" w:cs="Times New Roman"/>
          <w:b/>
          <w:bCs/>
        </w:rPr>
        <w:t>post-test</w:t>
      </w:r>
      <w:r w:rsidR="0050132C" w:rsidRPr="00994A7B">
        <w:rPr>
          <w:rFonts w:ascii="Times New Roman" w:hAnsi="Times New Roman" w:cs="Times New Roman"/>
        </w:rPr>
        <w:t xml:space="preserve"> montre une </w:t>
      </w:r>
      <w:r w:rsidR="0050132C" w:rsidRPr="00994A7B">
        <w:rPr>
          <w:rFonts w:ascii="Times New Roman" w:hAnsi="Times New Roman" w:cs="Times New Roman"/>
          <w:b/>
          <w:bCs/>
        </w:rPr>
        <w:t>amélioration significative du niveau des participants</w:t>
      </w:r>
      <w:r w:rsidR="0050132C" w:rsidRPr="00994A7B">
        <w:rPr>
          <w:rFonts w:ascii="Times New Roman" w:hAnsi="Times New Roman" w:cs="Times New Roman"/>
        </w:rPr>
        <w:t xml:space="preserve"> à l’issue de la formation sur les approches du changement social et comportemental (SBC). Voici les principaux constats :</w:t>
      </w:r>
    </w:p>
    <w:p w14:paraId="237C734E" w14:textId="77777777" w:rsidR="0050132C" w:rsidRPr="00994A7B" w:rsidRDefault="0050132C" w:rsidP="00994A7B">
      <w:pPr>
        <w:pStyle w:val="Default"/>
        <w:spacing w:before="120" w:after="120" w:line="360" w:lineRule="auto"/>
        <w:jc w:val="both"/>
        <w:rPr>
          <w:rFonts w:ascii="Times New Roman" w:hAnsi="Times New Roman" w:cs="Times New Roman"/>
        </w:rPr>
      </w:pPr>
      <w:r w:rsidRPr="00994A7B">
        <w:rPr>
          <w:rFonts w:ascii="Times New Roman" w:hAnsi="Times New Roman" w:cs="Times New Roman"/>
        </w:rPr>
        <w:lastRenderedPageBreak/>
        <w:t>Progression des scores supérieurs ou égaux à la moyenne :</w:t>
      </w:r>
    </w:p>
    <w:p w14:paraId="78603A8B" w14:textId="77777777" w:rsidR="0050132C" w:rsidRPr="00994A7B" w:rsidRDefault="0050132C" w:rsidP="00994A7B">
      <w:pPr>
        <w:pStyle w:val="Default"/>
        <w:numPr>
          <w:ilvl w:val="0"/>
          <w:numId w:val="9"/>
        </w:numPr>
        <w:spacing w:before="120" w:after="120" w:line="360" w:lineRule="auto"/>
        <w:jc w:val="both"/>
        <w:rPr>
          <w:rFonts w:ascii="Times New Roman" w:hAnsi="Times New Roman" w:cs="Times New Roman"/>
        </w:rPr>
      </w:pPr>
      <w:r w:rsidRPr="00994A7B">
        <w:rPr>
          <w:rFonts w:ascii="Times New Roman" w:hAnsi="Times New Roman" w:cs="Times New Roman"/>
        </w:rPr>
        <w:t>Avant la formation, seuls 21 % des participants avaient une note égale ou supérieure à la moyenne.</w:t>
      </w:r>
    </w:p>
    <w:p w14:paraId="1EB2E414" w14:textId="77777777" w:rsidR="0050132C" w:rsidRPr="00994A7B" w:rsidRDefault="0050132C" w:rsidP="00994A7B">
      <w:pPr>
        <w:pStyle w:val="Default"/>
        <w:numPr>
          <w:ilvl w:val="0"/>
          <w:numId w:val="9"/>
        </w:numPr>
        <w:spacing w:before="120" w:after="120" w:line="360" w:lineRule="auto"/>
        <w:jc w:val="both"/>
        <w:rPr>
          <w:rFonts w:ascii="Times New Roman" w:hAnsi="Times New Roman" w:cs="Times New Roman"/>
        </w:rPr>
      </w:pPr>
      <w:r w:rsidRPr="00994A7B">
        <w:rPr>
          <w:rFonts w:ascii="Times New Roman" w:hAnsi="Times New Roman" w:cs="Times New Roman"/>
        </w:rPr>
        <w:t>Après la formation, ce chiffre grimpe à 92 %, ce qui témoigne d’un gain notable en compréhension et en assimilation des contenus.</w:t>
      </w:r>
    </w:p>
    <w:p w14:paraId="4FE4973A" w14:textId="77777777" w:rsidR="0050132C" w:rsidRPr="00994A7B" w:rsidRDefault="0050132C" w:rsidP="00994A7B">
      <w:pPr>
        <w:pStyle w:val="Default"/>
        <w:spacing w:before="120" w:after="120" w:line="360" w:lineRule="auto"/>
        <w:jc w:val="both"/>
        <w:rPr>
          <w:rFonts w:ascii="Times New Roman" w:hAnsi="Times New Roman" w:cs="Times New Roman"/>
        </w:rPr>
      </w:pPr>
      <w:r w:rsidRPr="00994A7B">
        <w:rPr>
          <w:rFonts w:ascii="Times New Roman" w:hAnsi="Times New Roman" w:cs="Times New Roman"/>
        </w:rPr>
        <w:t>Réduction des notes inférieures à la moyenne :</w:t>
      </w:r>
    </w:p>
    <w:p w14:paraId="0F8A5C3F" w14:textId="77777777" w:rsidR="0050132C" w:rsidRPr="00994A7B" w:rsidRDefault="0050132C" w:rsidP="00994A7B">
      <w:pPr>
        <w:pStyle w:val="Default"/>
        <w:numPr>
          <w:ilvl w:val="0"/>
          <w:numId w:val="9"/>
        </w:numPr>
        <w:spacing w:before="120" w:after="120" w:line="360" w:lineRule="auto"/>
        <w:jc w:val="both"/>
        <w:rPr>
          <w:rFonts w:ascii="Times New Roman" w:hAnsi="Times New Roman" w:cs="Times New Roman"/>
        </w:rPr>
      </w:pPr>
      <w:r w:rsidRPr="00994A7B">
        <w:rPr>
          <w:rFonts w:ascii="Times New Roman" w:hAnsi="Times New Roman" w:cs="Times New Roman"/>
        </w:rPr>
        <w:t>La part de participants en dessous de la moyenne est passée de 79 % à 8 %. Cela montre que la majorité a rattrapé les lacunes initiales grâce aux outils pédagogiques et à la méthodologie utilisés.</w:t>
      </w:r>
    </w:p>
    <w:p w14:paraId="4A019E00" w14:textId="77777777" w:rsidR="0050132C" w:rsidRPr="00994A7B" w:rsidRDefault="0050132C" w:rsidP="00994A7B">
      <w:pPr>
        <w:pStyle w:val="Default"/>
        <w:spacing w:before="120" w:after="120" w:line="360" w:lineRule="auto"/>
        <w:jc w:val="both"/>
        <w:rPr>
          <w:rFonts w:ascii="Times New Roman" w:hAnsi="Times New Roman" w:cs="Times New Roman"/>
        </w:rPr>
      </w:pPr>
      <w:r w:rsidRPr="00994A7B">
        <w:rPr>
          <w:rFonts w:ascii="Times New Roman" w:hAnsi="Times New Roman" w:cs="Times New Roman"/>
        </w:rPr>
        <w:t>Amélioration des performances élevées :</w:t>
      </w:r>
    </w:p>
    <w:p w14:paraId="3B1739EC" w14:textId="77777777" w:rsidR="0050132C" w:rsidRPr="00994A7B" w:rsidRDefault="0050132C" w:rsidP="00994A7B">
      <w:pPr>
        <w:pStyle w:val="Default"/>
        <w:numPr>
          <w:ilvl w:val="0"/>
          <w:numId w:val="9"/>
        </w:numPr>
        <w:spacing w:before="120" w:after="120" w:line="360" w:lineRule="auto"/>
        <w:jc w:val="both"/>
        <w:rPr>
          <w:rFonts w:ascii="Times New Roman" w:hAnsi="Times New Roman" w:cs="Times New Roman"/>
        </w:rPr>
      </w:pPr>
      <w:r w:rsidRPr="00994A7B">
        <w:rPr>
          <w:rFonts w:ascii="Times New Roman" w:hAnsi="Times New Roman" w:cs="Times New Roman"/>
        </w:rPr>
        <w:t>Aucun participant n’avait obtenu plus de 80 % de bonnes réponses au prétest.</w:t>
      </w:r>
    </w:p>
    <w:p w14:paraId="0515D6FF" w14:textId="77777777" w:rsidR="0050132C" w:rsidRPr="00994A7B" w:rsidRDefault="0050132C" w:rsidP="00994A7B">
      <w:pPr>
        <w:pStyle w:val="Default"/>
        <w:numPr>
          <w:ilvl w:val="0"/>
          <w:numId w:val="9"/>
        </w:numPr>
        <w:spacing w:before="120" w:after="120" w:line="360" w:lineRule="auto"/>
        <w:jc w:val="both"/>
        <w:rPr>
          <w:rFonts w:ascii="Times New Roman" w:hAnsi="Times New Roman" w:cs="Times New Roman"/>
        </w:rPr>
      </w:pPr>
      <w:r w:rsidRPr="00994A7B">
        <w:rPr>
          <w:rFonts w:ascii="Times New Roman" w:hAnsi="Times New Roman" w:cs="Times New Roman"/>
        </w:rPr>
        <w:t>Après la formation, 38 % ont atteint ce seuil, ce qui indique qu’un nombre important a acquis une maîtrise avancée des thématiques abordées.</w:t>
      </w:r>
    </w:p>
    <w:p w14:paraId="58796B8F" w14:textId="4CEC38B3" w:rsidR="00ED27BB" w:rsidRPr="00994A7B" w:rsidRDefault="0050132C" w:rsidP="00994A7B">
      <w:pPr>
        <w:pStyle w:val="Default"/>
        <w:spacing w:before="120" w:after="120" w:line="360" w:lineRule="auto"/>
        <w:jc w:val="both"/>
        <w:rPr>
          <w:rFonts w:ascii="Times New Roman" w:hAnsi="Times New Roman" w:cs="Times New Roman"/>
        </w:rPr>
      </w:pPr>
      <w:r w:rsidRPr="00994A7B">
        <w:rPr>
          <w:rFonts w:ascii="Times New Roman" w:hAnsi="Times New Roman" w:cs="Times New Roman"/>
        </w:rPr>
        <w:t>Ces résultats démontrent l’efficacité de la formation tant dans la transmission des connaissances que dans le renforcement des capacités des participants. L’approche pédagogique, axée sur l’interactivité, les cas pratiques et les échanges, a contribué de manière significative à cette amélioration.</w:t>
      </w:r>
    </w:p>
    <w:p w14:paraId="7056DA27" w14:textId="77777777" w:rsidR="00ED27BB" w:rsidRPr="00994A7B" w:rsidRDefault="00ED27BB" w:rsidP="00994A7B">
      <w:pPr>
        <w:pStyle w:val="Default"/>
        <w:spacing w:before="120" w:after="120" w:line="360" w:lineRule="auto"/>
        <w:jc w:val="both"/>
        <w:rPr>
          <w:rFonts w:ascii="Times New Roman" w:hAnsi="Times New Roman" w:cs="Times New Roman"/>
        </w:rPr>
      </w:pPr>
    </w:p>
    <w:p w14:paraId="621D2A6F" w14:textId="77777777" w:rsidR="00ED27BB" w:rsidRPr="00994A7B" w:rsidRDefault="00ED27BB" w:rsidP="00994A7B">
      <w:pPr>
        <w:pStyle w:val="Default"/>
        <w:spacing w:before="120" w:after="120" w:line="360" w:lineRule="auto"/>
        <w:jc w:val="both"/>
        <w:rPr>
          <w:rFonts w:ascii="Times New Roman" w:hAnsi="Times New Roman" w:cs="Times New Roman"/>
        </w:rPr>
      </w:pPr>
    </w:p>
    <w:p w14:paraId="7E851BA0" w14:textId="77777777" w:rsidR="00ED27BB" w:rsidRPr="00994A7B" w:rsidRDefault="00ED27BB" w:rsidP="00994A7B">
      <w:pPr>
        <w:pStyle w:val="Default"/>
        <w:spacing w:before="120" w:after="120" w:line="360" w:lineRule="auto"/>
        <w:jc w:val="both"/>
        <w:rPr>
          <w:rFonts w:ascii="Times New Roman" w:hAnsi="Times New Roman" w:cs="Times New Roman"/>
        </w:rPr>
      </w:pPr>
    </w:p>
    <w:p w14:paraId="32CAD113" w14:textId="77777777" w:rsidR="00ED27BB" w:rsidRPr="00994A7B" w:rsidRDefault="00ED27BB" w:rsidP="00994A7B">
      <w:pPr>
        <w:pStyle w:val="Default"/>
        <w:spacing w:before="120" w:after="120" w:line="360" w:lineRule="auto"/>
        <w:jc w:val="both"/>
        <w:rPr>
          <w:rFonts w:ascii="Times New Roman" w:hAnsi="Times New Roman" w:cs="Times New Roman"/>
        </w:rPr>
      </w:pPr>
    </w:p>
    <w:p w14:paraId="084E8E69" w14:textId="77777777" w:rsidR="00ED27BB" w:rsidRPr="00994A7B" w:rsidRDefault="00ED27BB" w:rsidP="00994A7B">
      <w:pPr>
        <w:pStyle w:val="Default"/>
        <w:spacing w:before="120" w:after="120" w:line="360" w:lineRule="auto"/>
        <w:jc w:val="both"/>
        <w:rPr>
          <w:rFonts w:ascii="Times New Roman" w:hAnsi="Times New Roman" w:cs="Times New Roman"/>
        </w:rPr>
      </w:pPr>
    </w:p>
    <w:p w14:paraId="7861BEC6" w14:textId="77777777" w:rsidR="00ED27BB" w:rsidRPr="00994A7B" w:rsidRDefault="00ED27BB" w:rsidP="00994A7B">
      <w:pPr>
        <w:pStyle w:val="Default"/>
        <w:spacing w:before="120" w:after="120" w:line="360" w:lineRule="auto"/>
        <w:jc w:val="both"/>
        <w:rPr>
          <w:rFonts w:ascii="Times New Roman" w:hAnsi="Times New Roman" w:cs="Times New Roman"/>
        </w:rPr>
      </w:pPr>
    </w:p>
    <w:p w14:paraId="2D79DA26" w14:textId="77777777" w:rsidR="00ED27BB" w:rsidRPr="00994A7B" w:rsidRDefault="00ED27BB" w:rsidP="00994A7B">
      <w:pPr>
        <w:pStyle w:val="Default"/>
        <w:spacing w:before="120" w:after="120" w:line="360" w:lineRule="auto"/>
        <w:jc w:val="both"/>
        <w:rPr>
          <w:rFonts w:ascii="Times New Roman" w:hAnsi="Times New Roman" w:cs="Times New Roman"/>
        </w:rPr>
      </w:pPr>
    </w:p>
    <w:p w14:paraId="6D738DE9" w14:textId="77777777" w:rsidR="00ED27BB" w:rsidRPr="00994A7B" w:rsidRDefault="00ED27BB" w:rsidP="00994A7B">
      <w:pPr>
        <w:pStyle w:val="Default"/>
        <w:spacing w:before="120" w:after="120" w:line="360" w:lineRule="auto"/>
        <w:jc w:val="both"/>
        <w:rPr>
          <w:rFonts w:ascii="Times New Roman" w:hAnsi="Times New Roman" w:cs="Times New Roman"/>
        </w:rPr>
      </w:pPr>
    </w:p>
    <w:p w14:paraId="704CC7AD" w14:textId="77777777" w:rsidR="00ED27BB" w:rsidRPr="00994A7B" w:rsidRDefault="00ED27BB" w:rsidP="00994A7B">
      <w:pPr>
        <w:pStyle w:val="Default"/>
        <w:spacing w:before="120" w:after="120" w:line="360" w:lineRule="auto"/>
        <w:jc w:val="both"/>
        <w:rPr>
          <w:rFonts w:ascii="Times New Roman" w:hAnsi="Times New Roman" w:cs="Times New Roman"/>
        </w:rPr>
      </w:pPr>
    </w:p>
    <w:p w14:paraId="7D1D4100" w14:textId="77777777" w:rsidR="00ED27BB" w:rsidRPr="00994A7B" w:rsidRDefault="00ED27BB" w:rsidP="00994A7B">
      <w:pPr>
        <w:pStyle w:val="Default"/>
        <w:spacing w:before="120" w:after="120" w:line="360" w:lineRule="auto"/>
        <w:jc w:val="both"/>
        <w:rPr>
          <w:rFonts w:ascii="Times New Roman" w:hAnsi="Times New Roman" w:cs="Times New Roman"/>
        </w:rPr>
      </w:pPr>
    </w:p>
    <w:p w14:paraId="7A3A773A" w14:textId="77777777" w:rsidR="00ED27BB" w:rsidRPr="00994A7B" w:rsidRDefault="00ED27BB" w:rsidP="00994A7B">
      <w:pPr>
        <w:pStyle w:val="Titre1"/>
        <w:numPr>
          <w:ilvl w:val="0"/>
          <w:numId w:val="3"/>
        </w:numPr>
        <w:tabs>
          <w:tab w:val="num" w:pos="360"/>
        </w:tabs>
        <w:spacing w:before="120" w:after="120" w:line="360" w:lineRule="auto"/>
        <w:ind w:left="0" w:firstLine="0"/>
        <w:rPr>
          <w:rFonts w:ascii="Times New Roman" w:eastAsia="Calibri" w:hAnsi="Times New Roman" w:cs="Times New Roman"/>
          <w:b/>
          <w:bCs/>
          <w:color w:val="000000"/>
          <w:sz w:val="24"/>
          <w:szCs w:val="24"/>
          <w14:ligatures w14:val="none"/>
        </w:rPr>
      </w:pPr>
      <w:bookmarkStart w:id="42" w:name="_Toc529706511"/>
      <w:bookmarkStart w:id="43" w:name="_Toc197420486"/>
      <w:r w:rsidRPr="00994A7B">
        <w:rPr>
          <w:rFonts w:ascii="Times New Roman" w:eastAsia="Calibri" w:hAnsi="Times New Roman" w:cs="Times New Roman"/>
          <w:b/>
          <w:bCs/>
          <w:color w:val="000000"/>
          <w:sz w:val="24"/>
          <w:szCs w:val="24"/>
          <w14:ligatures w14:val="none"/>
        </w:rPr>
        <w:lastRenderedPageBreak/>
        <w:t>Conclusion générale</w:t>
      </w:r>
      <w:bookmarkEnd w:id="42"/>
      <w:bookmarkEnd w:id="43"/>
    </w:p>
    <w:p w14:paraId="2FFCE455" w14:textId="77777777" w:rsidR="00ED27BB" w:rsidRPr="00994A7B" w:rsidRDefault="00ED27BB" w:rsidP="00994A7B">
      <w:pPr>
        <w:pStyle w:val="Default"/>
        <w:spacing w:before="120" w:after="120" w:line="360" w:lineRule="auto"/>
        <w:jc w:val="both"/>
        <w:rPr>
          <w:rFonts w:ascii="Times New Roman" w:hAnsi="Times New Roman" w:cs="Times New Roman"/>
        </w:rPr>
      </w:pPr>
      <w:r w:rsidRPr="00994A7B">
        <w:rPr>
          <w:rFonts w:ascii="Times New Roman" w:hAnsi="Times New Roman" w:cs="Times New Roman"/>
        </w:rPr>
        <w:t xml:space="preserve">Globalement, la formation s’est bien déroulée. Les participants ont manifesté un intérêt certain pour le contenu de la formation, notamment par la qualité et la pertinence des questions soulevées au cours des débats. </w:t>
      </w:r>
    </w:p>
    <w:p w14:paraId="13D058E3" w14:textId="7C857BA8" w:rsidR="00ED27BB" w:rsidRPr="00994A7B" w:rsidRDefault="00ED27BB" w:rsidP="00994A7B">
      <w:pPr>
        <w:pStyle w:val="Default"/>
        <w:spacing w:before="120" w:after="120" w:line="360" w:lineRule="auto"/>
        <w:jc w:val="both"/>
        <w:rPr>
          <w:rFonts w:ascii="Times New Roman" w:hAnsi="Times New Roman" w:cs="Times New Roman"/>
        </w:rPr>
      </w:pPr>
      <w:r w:rsidRPr="00994A7B">
        <w:rPr>
          <w:rFonts w:ascii="Times New Roman" w:hAnsi="Times New Roman" w:cs="Times New Roman"/>
        </w:rPr>
        <w:t>Au regard des profils des participants et de l’intérêt qu’ils ont accordé aux sujets traités durant cette formation, l’on est en droit d’affirmer que le programme de formation a été bien conçu, car il était approprié à leur besoin de renforcement des capacités dans le cadre d</w:t>
      </w:r>
      <w:r w:rsidR="00BB234A" w:rsidRPr="00994A7B">
        <w:rPr>
          <w:rFonts w:ascii="Times New Roman" w:hAnsi="Times New Roman" w:cs="Times New Roman"/>
        </w:rPr>
        <w:t>u changement social et comportemental en faveur de la vaccination</w:t>
      </w:r>
      <w:r w:rsidRPr="00994A7B">
        <w:rPr>
          <w:rFonts w:ascii="Times New Roman" w:hAnsi="Times New Roman" w:cs="Times New Roman"/>
        </w:rPr>
        <w:t>.</w:t>
      </w:r>
    </w:p>
    <w:p w14:paraId="3AEEC54C" w14:textId="3589FAC9" w:rsidR="00ED27BB" w:rsidRPr="00994A7B" w:rsidRDefault="00ED27BB" w:rsidP="00994A7B">
      <w:pPr>
        <w:pStyle w:val="Default"/>
        <w:spacing w:before="120" w:after="120" w:line="360" w:lineRule="auto"/>
        <w:jc w:val="both"/>
        <w:rPr>
          <w:rFonts w:ascii="Times New Roman" w:hAnsi="Times New Roman" w:cs="Times New Roman"/>
        </w:rPr>
      </w:pPr>
      <w:r w:rsidRPr="00994A7B">
        <w:rPr>
          <w:rFonts w:ascii="Times New Roman" w:hAnsi="Times New Roman" w:cs="Times New Roman"/>
        </w:rPr>
        <w:t>Les outils nécessaires à un approfondissement ultérieur des connaissances ont été mis à la disposition des participants ; il s’agit notamment des supports de formation contenant tous les modules dispensés</w:t>
      </w:r>
      <w:r w:rsidR="00BB234A" w:rsidRPr="00994A7B">
        <w:rPr>
          <w:rFonts w:ascii="Times New Roman" w:hAnsi="Times New Roman" w:cs="Times New Roman"/>
        </w:rPr>
        <w:t>.</w:t>
      </w:r>
    </w:p>
    <w:p w14:paraId="7513BD5D" w14:textId="0136553C" w:rsidR="00ED27BB" w:rsidRPr="00994A7B" w:rsidRDefault="00ED27BB" w:rsidP="00994A7B">
      <w:pPr>
        <w:pStyle w:val="Default"/>
        <w:spacing w:before="120" w:after="120" w:line="360" w:lineRule="auto"/>
        <w:jc w:val="both"/>
        <w:rPr>
          <w:rFonts w:ascii="Times New Roman" w:hAnsi="Times New Roman" w:cs="Times New Roman"/>
        </w:rPr>
      </w:pPr>
      <w:r w:rsidRPr="00994A7B">
        <w:rPr>
          <w:rFonts w:ascii="Times New Roman" w:hAnsi="Times New Roman" w:cs="Times New Roman"/>
        </w:rPr>
        <w:t>Les participants ont émis le souhait de voir se multiplier ce genre de formation afin de leur permettre d’être suffisamment outillés au regard de</w:t>
      </w:r>
      <w:r w:rsidR="00BB234A" w:rsidRPr="00994A7B">
        <w:rPr>
          <w:rFonts w:ascii="Times New Roman" w:hAnsi="Times New Roman" w:cs="Times New Roman"/>
        </w:rPr>
        <w:t xml:space="preserve">s défis que fait face le PEV de routine en matière de mobilisation sociale et d’engagement communautaire. </w:t>
      </w:r>
    </w:p>
    <w:p w14:paraId="7EBED691" w14:textId="77777777" w:rsidR="00ED27BB" w:rsidRPr="00994A7B" w:rsidRDefault="00ED27BB" w:rsidP="00994A7B">
      <w:pPr>
        <w:spacing w:line="360" w:lineRule="auto"/>
        <w:ind w:firstLine="720"/>
        <w:rPr>
          <w:rFonts w:ascii="Times New Roman" w:eastAsia="Calibri" w:hAnsi="Times New Roman" w:cs="Times New Roman"/>
          <w:color w:val="000000"/>
          <w:sz w:val="24"/>
          <w:szCs w:val="24"/>
          <w14:ligatures w14:val="none"/>
        </w:rPr>
      </w:pPr>
    </w:p>
    <w:sectPr w:rsidR="00ED27BB" w:rsidRPr="00994A7B">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995C03" w14:textId="77777777" w:rsidR="00D8263F" w:rsidRDefault="00D8263F" w:rsidP="0050132C">
      <w:pPr>
        <w:spacing w:after="0" w:line="240" w:lineRule="auto"/>
      </w:pPr>
      <w:r>
        <w:separator/>
      </w:r>
    </w:p>
  </w:endnote>
  <w:endnote w:type="continuationSeparator" w:id="0">
    <w:p w14:paraId="6BA2AB27" w14:textId="77777777" w:rsidR="00D8263F" w:rsidRDefault="00D8263F" w:rsidP="00501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ndalus">
    <w:altName w:val="Times New Roman"/>
    <w:charset w:val="00"/>
    <w:family w:val="roman"/>
    <w:pitch w:val="variable"/>
    <w:sig w:usb0="00000000" w:usb1="80000000" w:usb2="00000008" w:usb3="00000000" w:csb0="0000004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006615"/>
      <w:docPartObj>
        <w:docPartGallery w:val="Page Numbers (Bottom of Page)"/>
        <w:docPartUnique/>
      </w:docPartObj>
    </w:sdtPr>
    <w:sdtEndPr/>
    <w:sdtContent>
      <w:p w14:paraId="6B2FC665" w14:textId="6E6717BC" w:rsidR="00BB234A" w:rsidRDefault="00BB234A">
        <w:pPr>
          <w:pStyle w:val="Pieddepage"/>
          <w:jc w:val="right"/>
        </w:pPr>
        <w:r>
          <w:fldChar w:fldCharType="begin"/>
        </w:r>
        <w:r>
          <w:instrText>PAGE   \* MERGEFORMAT</w:instrText>
        </w:r>
        <w:r>
          <w:fldChar w:fldCharType="separate"/>
        </w:r>
        <w:r w:rsidR="00994A7B" w:rsidRPr="00994A7B">
          <w:rPr>
            <w:noProof/>
            <w:lang w:val="fr-FR"/>
          </w:rPr>
          <w:t>3</w:t>
        </w:r>
        <w:r>
          <w:fldChar w:fldCharType="end"/>
        </w:r>
      </w:p>
    </w:sdtContent>
  </w:sdt>
  <w:p w14:paraId="28E034BA" w14:textId="77777777" w:rsidR="00BB234A" w:rsidRDefault="00BB234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60E643" w14:textId="77777777" w:rsidR="00D8263F" w:rsidRDefault="00D8263F" w:rsidP="0050132C">
      <w:pPr>
        <w:spacing w:after="0" w:line="240" w:lineRule="auto"/>
      </w:pPr>
      <w:r>
        <w:separator/>
      </w:r>
    </w:p>
  </w:footnote>
  <w:footnote w:type="continuationSeparator" w:id="0">
    <w:p w14:paraId="4B32E875" w14:textId="77777777" w:rsidR="00D8263F" w:rsidRDefault="00D8263F" w:rsidP="005013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FB42DC"/>
    <w:multiLevelType w:val="hybridMultilevel"/>
    <w:tmpl w:val="1646BF70"/>
    <w:lvl w:ilvl="0" w:tplc="040C000D">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E3B497B"/>
    <w:multiLevelType w:val="multilevel"/>
    <w:tmpl w:val="892E0C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7BF25BF"/>
    <w:multiLevelType w:val="hybridMultilevel"/>
    <w:tmpl w:val="48741162"/>
    <w:lvl w:ilvl="0" w:tplc="040C0009">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nsid w:val="49766C36"/>
    <w:multiLevelType w:val="multilevel"/>
    <w:tmpl w:val="98BCFF9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4CDC4731"/>
    <w:multiLevelType w:val="hybridMultilevel"/>
    <w:tmpl w:val="B5668E52"/>
    <w:lvl w:ilvl="0" w:tplc="040C000B">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0AA5557"/>
    <w:multiLevelType w:val="hybridMultilevel"/>
    <w:tmpl w:val="6EA64E3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A182430"/>
    <w:multiLevelType w:val="hybridMultilevel"/>
    <w:tmpl w:val="E8F48E0A"/>
    <w:lvl w:ilvl="0" w:tplc="040C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65E6796F"/>
    <w:multiLevelType w:val="hybridMultilevel"/>
    <w:tmpl w:val="F956E8DA"/>
    <w:lvl w:ilvl="0" w:tplc="2000000B">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8">
    <w:nsid w:val="7A0F727D"/>
    <w:multiLevelType w:val="hybridMultilevel"/>
    <w:tmpl w:val="ED849E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0"/>
  </w:num>
  <w:num w:numId="6">
    <w:abstractNumId w:val="8"/>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6646A"/>
    <w:rsid w:val="00046765"/>
    <w:rsid w:val="000531A0"/>
    <w:rsid w:val="00054D19"/>
    <w:rsid w:val="000D0F28"/>
    <w:rsid w:val="00101FAA"/>
    <w:rsid w:val="001321CE"/>
    <w:rsid w:val="0013640D"/>
    <w:rsid w:val="00177E54"/>
    <w:rsid w:val="001809B2"/>
    <w:rsid w:val="00184EC8"/>
    <w:rsid w:val="001E6DC0"/>
    <w:rsid w:val="002168AF"/>
    <w:rsid w:val="002847DC"/>
    <w:rsid w:val="002C4112"/>
    <w:rsid w:val="002C50B7"/>
    <w:rsid w:val="002F398F"/>
    <w:rsid w:val="002F6F1D"/>
    <w:rsid w:val="00341F79"/>
    <w:rsid w:val="003642DD"/>
    <w:rsid w:val="003D0BFB"/>
    <w:rsid w:val="003E3619"/>
    <w:rsid w:val="00413EFE"/>
    <w:rsid w:val="00417A4E"/>
    <w:rsid w:val="00436774"/>
    <w:rsid w:val="00447C37"/>
    <w:rsid w:val="004947D0"/>
    <w:rsid w:val="004A63C4"/>
    <w:rsid w:val="004B1DD7"/>
    <w:rsid w:val="004D3BBE"/>
    <w:rsid w:val="0050104F"/>
    <w:rsid w:val="0050132C"/>
    <w:rsid w:val="005360B7"/>
    <w:rsid w:val="00536E17"/>
    <w:rsid w:val="0054095E"/>
    <w:rsid w:val="00542688"/>
    <w:rsid w:val="00557636"/>
    <w:rsid w:val="005927A6"/>
    <w:rsid w:val="005A17C6"/>
    <w:rsid w:val="005A3D4A"/>
    <w:rsid w:val="005B4312"/>
    <w:rsid w:val="005D7167"/>
    <w:rsid w:val="006316A0"/>
    <w:rsid w:val="00646405"/>
    <w:rsid w:val="00651764"/>
    <w:rsid w:val="006737A0"/>
    <w:rsid w:val="006B2373"/>
    <w:rsid w:val="006B6D61"/>
    <w:rsid w:val="006F4488"/>
    <w:rsid w:val="00721F8E"/>
    <w:rsid w:val="00726B72"/>
    <w:rsid w:val="0073568D"/>
    <w:rsid w:val="0078032C"/>
    <w:rsid w:val="00795FB9"/>
    <w:rsid w:val="007A3581"/>
    <w:rsid w:val="007A478F"/>
    <w:rsid w:val="007B6608"/>
    <w:rsid w:val="007D170A"/>
    <w:rsid w:val="007E4AA3"/>
    <w:rsid w:val="007E7674"/>
    <w:rsid w:val="00834D3B"/>
    <w:rsid w:val="00862430"/>
    <w:rsid w:val="0086646A"/>
    <w:rsid w:val="00866E88"/>
    <w:rsid w:val="00885282"/>
    <w:rsid w:val="008878A0"/>
    <w:rsid w:val="008A176C"/>
    <w:rsid w:val="008A4EE4"/>
    <w:rsid w:val="008A6C18"/>
    <w:rsid w:val="008B67F2"/>
    <w:rsid w:val="008D5CAE"/>
    <w:rsid w:val="008E7EC4"/>
    <w:rsid w:val="008F2578"/>
    <w:rsid w:val="008F6217"/>
    <w:rsid w:val="00991CC3"/>
    <w:rsid w:val="00994A7B"/>
    <w:rsid w:val="00996C25"/>
    <w:rsid w:val="009A5673"/>
    <w:rsid w:val="009E1794"/>
    <w:rsid w:val="009F4930"/>
    <w:rsid w:val="00A415D5"/>
    <w:rsid w:val="00A47077"/>
    <w:rsid w:val="00A84817"/>
    <w:rsid w:val="00AA43B8"/>
    <w:rsid w:val="00AC0201"/>
    <w:rsid w:val="00AE25DE"/>
    <w:rsid w:val="00B17587"/>
    <w:rsid w:val="00B331DC"/>
    <w:rsid w:val="00B43E8E"/>
    <w:rsid w:val="00B53BBC"/>
    <w:rsid w:val="00B82BA5"/>
    <w:rsid w:val="00B93CA9"/>
    <w:rsid w:val="00BB234A"/>
    <w:rsid w:val="00BF7E78"/>
    <w:rsid w:val="00C44545"/>
    <w:rsid w:val="00C52602"/>
    <w:rsid w:val="00CC077E"/>
    <w:rsid w:val="00CF1A05"/>
    <w:rsid w:val="00CF4D56"/>
    <w:rsid w:val="00D12AEF"/>
    <w:rsid w:val="00D36172"/>
    <w:rsid w:val="00D43FD2"/>
    <w:rsid w:val="00D8263F"/>
    <w:rsid w:val="00D94BBB"/>
    <w:rsid w:val="00DC053B"/>
    <w:rsid w:val="00DF23C2"/>
    <w:rsid w:val="00E011DA"/>
    <w:rsid w:val="00E37F9B"/>
    <w:rsid w:val="00E9045F"/>
    <w:rsid w:val="00EB6AC5"/>
    <w:rsid w:val="00ED27BB"/>
    <w:rsid w:val="00EE33B8"/>
    <w:rsid w:val="00F21433"/>
    <w:rsid w:val="00F4396B"/>
    <w:rsid w:val="00F526B6"/>
    <w:rsid w:val="00F637E7"/>
    <w:rsid w:val="00F77B99"/>
    <w:rsid w:val="00F855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042DCD"/>
  <w15:chartTrackingRefBased/>
  <w15:docId w15:val="{C2F4BF0E-5FF7-4820-957F-EEC0A34FB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BBB"/>
    <w:pPr>
      <w:spacing w:after="200" w:line="276" w:lineRule="auto"/>
    </w:pPr>
    <w:rPr>
      <w:kern w:val="0"/>
    </w:rPr>
  </w:style>
  <w:style w:type="paragraph" w:styleId="Titre1">
    <w:name w:val="heading 1"/>
    <w:basedOn w:val="Normal"/>
    <w:next w:val="Normal"/>
    <w:link w:val="Titre1Car"/>
    <w:qFormat/>
    <w:rsid w:val="008664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nhideWhenUsed/>
    <w:qFormat/>
    <w:rsid w:val="008664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nhideWhenUsed/>
    <w:qFormat/>
    <w:rsid w:val="0086646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6646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6646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6646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6646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6646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6646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6646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86646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rsid w:val="0086646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6646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6646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6646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6646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6646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6646A"/>
    <w:rPr>
      <w:rFonts w:eastAsiaTheme="majorEastAsia" w:cstheme="majorBidi"/>
      <w:color w:val="272727" w:themeColor="text1" w:themeTint="D8"/>
    </w:rPr>
  </w:style>
  <w:style w:type="paragraph" w:styleId="Titre">
    <w:name w:val="Title"/>
    <w:basedOn w:val="Normal"/>
    <w:next w:val="Normal"/>
    <w:link w:val="TitreCar"/>
    <w:uiPriority w:val="10"/>
    <w:qFormat/>
    <w:rsid w:val="008664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6646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6646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6646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6646A"/>
    <w:pPr>
      <w:spacing w:before="160"/>
      <w:jc w:val="center"/>
    </w:pPr>
    <w:rPr>
      <w:i/>
      <w:iCs/>
      <w:color w:val="404040" w:themeColor="text1" w:themeTint="BF"/>
    </w:rPr>
  </w:style>
  <w:style w:type="character" w:customStyle="1" w:styleId="CitationCar">
    <w:name w:val="Citation Car"/>
    <w:basedOn w:val="Policepardfaut"/>
    <w:link w:val="Citation"/>
    <w:uiPriority w:val="29"/>
    <w:rsid w:val="0086646A"/>
    <w:rPr>
      <w:i/>
      <w:iCs/>
      <w:color w:val="404040" w:themeColor="text1" w:themeTint="BF"/>
    </w:rPr>
  </w:style>
  <w:style w:type="paragraph" w:styleId="Paragraphedeliste">
    <w:name w:val="List Paragraph"/>
    <w:aliases w:val="Glossaire,liste de tableaux,Titre1,I..1,L_4,Paragraphe de liste4,U 5,Paragraphe 2"/>
    <w:basedOn w:val="Normal"/>
    <w:link w:val="ParagraphedelisteCar"/>
    <w:uiPriority w:val="34"/>
    <w:qFormat/>
    <w:rsid w:val="0086646A"/>
    <w:pPr>
      <w:ind w:left="720"/>
      <w:contextualSpacing/>
    </w:pPr>
  </w:style>
  <w:style w:type="character" w:styleId="Emphaseintense">
    <w:name w:val="Intense Emphasis"/>
    <w:basedOn w:val="Policepardfaut"/>
    <w:uiPriority w:val="21"/>
    <w:qFormat/>
    <w:rsid w:val="0086646A"/>
    <w:rPr>
      <w:i/>
      <w:iCs/>
      <w:color w:val="2F5496" w:themeColor="accent1" w:themeShade="BF"/>
    </w:rPr>
  </w:style>
  <w:style w:type="paragraph" w:styleId="Citationintense">
    <w:name w:val="Intense Quote"/>
    <w:basedOn w:val="Normal"/>
    <w:next w:val="Normal"/>
    <w:link w:val="CitationintenseCar"/>
    <w:uiPriority w:val="30"/>
    <w:qFormat/>
    <w:rsid w:val="008664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6646A"/>
    <w:rPr>
      <w:i/>
      <w:iCs/>
      <w:color w:val="2F5496" w:themeColor="accent1" w:themeShade="BF"/>
    </w:rPr>
  </w:style>
  <w:style w:type="character" w:styleId="Rfrenceintense">
    <w:name w:val="Intense Reference"/>
    <w:basedOn w:val="Policepardfaut"/>
    <w:uiPriority w:val="32"/>
    <w:qFormat/>
    <w:rsid w:val="0086646A"/>
    <w:rPr>
      <w:b/>
      <w:bCs/>
      <w:smallCaps/>
      <w:color w:val="2F5496" w:themeColor="accent1" w:themeShade="BF"/>
      <w:spacing w:val="5"/>
    </w:rPr>
  </w:style>
  <w:style w:type="paragraph" w:styleId="NormalWeb">
    <w:name w:val="Normal (Web)"/>
    <w:basedOn w:val="Normal"/>
    <w:uiPriority w:val="99"/>
    <w:unhideWhenUsed/>
    <w:rsid w:val="00D94BB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94BBB"/>
    <w:rPr>
      <w:b/>
      <w:bCs/>
    </w:rPr>
  </w:style>
  <w:style w:type="paragraph" w:styleId="Pieddepage">
    <w:name w:val="footer"/>
    <w:basedOn w:val="Normal"/>
    <w:link w:val="PieddepageCar"/>
    <w:uiPriority w:val="99"/>
    <w:rsid w:val="00D94BBB"/>
    <w:pPr>
      <w:tabs>
        <w:tab w:val="center" w:pos="4536"/>
        <w:tab w:val="right" w:pos="9072"/>
      </w:tabs>
      <w:spacing w:after="0" w:line="240" w:lineRule="auto"/>
    </w:pPr>
    <w:rPr>
      <w:rFonts w:ascii="Times New Roman" w:eastAsia="Times New Roman" w:hAnsi="Times New Roman" w:cs="Times New Roman"/>
      <w:sz w:val="20"/>
      <w:szCs w:val="20"/>
      <w:lang w:val="x-none" w:eastAsia="fr-FR"/>
      <w14:ligatures w14:val="none"/>
    </w:rPr>
  </w:style>
  <w:style w:type="character" w:customStyle="1" w:styleId="PieddepageCar">
    <w:name w:val="Pied de page Car"/>
    <w:basedOn w:val="Policepardfaut"/>
    <w:link w:val="Pieddepage"/>
    <w:uiPriority w:val="99"/>
    <w:rsid w:val="00D94BBB"/>
    <w:rPr>
      <w:rFonts w:ascii="Times New Roman" w:eastAsia="Times New Roman" w:hAnsi="Times New Roman" w:cs="Times New Roman"/>
      <w:kern w:val="0"/>
      <w:sz w:val="20"/>
      <w:szCs w:val="20"/>
      <w:lang w:val="x-none" w:eastAsia="fr-FR"/>
      <w14:ligatures w14:val="none"/>
    </w:rPr>
  </w:style>
  <w:style w:type="paragraph" w:styleId="TM1">
    <w:name w:val="toc 1"/>
    <w:basedOn w:val="Normal"/>
    <w:next w:val="Normal"/>
    <w:autoRedefine/>
    <w:uiPriority w:val="39"/>
    <w:unhideWhenUsed/>
    <w:qFormat/>
    <w:rsid w:val="00D94BBB"/>
    <w:pPr>
      <w:spacing w:before="120" w:after="0"/>
    </w:pPr>
    <w:rPr>
      <w:rFonts w:ascii="Calibri" w:eastAsia="Times New Roman" w:hAnsi="Calibri" w:cs="Times New Roman"/>
      <w:b/>
      <w:bCs/>
      <w:i/>
      <w:iCs/>
      <w:sz w:val="24"/>
      <w:szCs w:val="24"/>
      <w:lang w:eastAsia="fr-FR"/>
      <w14:ligatures w14:val="none"/>
    </w:rPr>
  </w:style>
  <w:style w:type="character" w:styleId="Lienhypertexte">
    <w:name w:val="Hyperlink"/>
    <w:uiPriority w:val="99"/>
    <w:unhideWhenUsed/>
    <w:rsid w:val="00D94BBB"/>
    <w:rPr>
      <w:color w:val="0000FF"/>
      <w:u w:val="single"/>
    </w:rPr>
  </w:style>
  <w:style w:type="paragraph" w:styleId="TM2">
    <w:name w:val="toc 2"/>
    <w:basedOn w:val="Normal"/>
    <w:next w:val="Normal"/>
    <w:autoRedefine/>
    <w:uiPriority w:val="39"/>
    <w:unhideWhenUsed/>
    <w:qFormat/>
    <w:rsid w:val="00D94BBB"/>
    <w:pPr>
      <w:spacing w:before="120" w:after="0"/>
      <w:ind w:left="220"/>
    </w:pPr>
    <w:rPr>
      <w:rFonts w:ascii="Calibri" w:eastAsia="Times New Roman" w:hAnsi="Calibri" w:cs="Times New Roman"/>
      <w:b/>
      <w:bCs/>
      <w:lang w:eastAsia="fr-FR"/>
      <w14:ligatures w14:val="none"/>
    </w:rPr>
  </w:style>
  <w:style w:type="paragraph" w:styleId="TM3">
    <w:name w:val="toc 3"/>
    <w:basedOn w:val="Normal"/>
    <w:next w:val="Normal"/>
    <w:autoRedefine/>
    <w:uiPriority w:val="39"/>
    <w:unhideWhenUsed/>
    <w:qFormat/>
    <w:rsid w:val="00D94BBB"/>
    <w:pPr>
      <w:spacing w:after="0"/>
      <w:ind w:left="440"/>
    </w:pPr>
    <w:rPr>
      <w:rFonts w:ascii="Calibri" w:eastAsia="Times New Roman" w:hAnsi="Calibri" w:cs="Times New Roman"/>
      <w:sz w:val="20"/>
      <w:szCs w:val="20"/>
      <w:lang w:eastAsia="fr-FR"/>
      <w14:ligatures w14:val="none"/>
    </w:rPr>
  </w:style>
  <w:style w:type="paragraph" w:styleId="Sansinterligne">
    <w:name w:val="No Spacing"/>
    <w:link w:val="SansinterligneCar"/>
    <w:uiPriority w:val="1"/>
    <w:qFormat/>
    <w:rsid w:val="00D94BBB"/>
    <w:pPr>
      <w:spacing w:after="0" w:line="240" w:lineRule="auto"/>
    </w:pPr>
    <w:rPr>
      <w:rFonts w:ascii="Calibri" w:eastAsia="Times New Roman" w:hAnsi="Calibri" w:cs="Times New Roman"/>
      <w:kern w:val="0"/>
      <w14:ligatures w14:val="none"/>
    </w:rPr>
  </w:style>
  <w:style w:type="character" w:customStyle="1" w:styleId="SansinterligneCar">
    <w:name w:val="Sans interligne Car"/>
    <w:link w:val="Sansinterligne"/>
    <w:uiPriority w:val="1"/>
    <w:rsid w:val="00D94BBB"/>
    <w:rPr>
      <w:rFonts w:ascii="Calibri" w:eastAsia="Times New Roman" w:hAnsi="Calibri" w:cs="Times New Roman"/>
      <w:kern w:val="0"/>
      <w:lang w:val="fr-FR"/>
      <w14:ligatures w14:val="none"/>
    </w:rPr>
  </w:style>
  <w:style w:type="character" w:customStyle="1" w:styleId="ParagraphedelisteCar">
    <w:name w:val="Paragraphe de liste Car"/>
    <w:aliases w:val="Glossaire Car,liste de tableaux Car,Titre1 Car,I..1 Car,L_4 Car,Paragraphe de liste4 Car,U 5 Car,Paragraphe 2 Car"/>
    <w:link w:val="Paragraphedeliste"/>
    <w:uiPriority w:val="34"/>
    <w:locked/>
    <w:rsid w:val="00D94BBB"/>
  </w:style>
  <w:style w:type="paragraph" w:customStyle="1" w:styleId="BankNormal">
    <w:name w:val="BankNormal"/>
    <w:basedOn w:val="Normal"/>
    <w:rsid w:val="00D94BBB"/>
    <w:pPr>
      <w:autoSpaceDE w:val="0"/>
      <w:autoSpaceDN w:val="0"/>
      <w:spacing w:after="240" w:line="240" w:lineRule="auto"/>
      <w:jc w:val="both"/>
    </w:pPr>
    <w:rPr>
      <w:rFonts w:ascii="Times New Roman" w:eastAsia="Times New Roman" w:hAnsi="Times New Roman" w:cs="Times New Roman"/>
      <w:sz w:val="24"/>
      <w:szCs w:val="20"/>
      <w:lang w:eastAsia="fr-FR"/>
      <w14:ligatures w14:val="none"/>
    </w:rPr>
  </w:style>
  <w:style w:type="paragraph" w:customStyle="1" w:styleId="Default">
    <w:name w:val="Default"/>
    <w:rsid w:val="00D94BBB"/>
    <w:pPr>
      <w:autoSpaceDE w:val="0"/>
      <w:autoSpaceDN w:val="0"/>
      <w:adjustRightInd w:val="0"/>
      <w:spacing w:after="0" w:line="240" w:lineRule="auto"/>
    </w:pPr>
    <w:rPr>
      <w:rFonts w:ascii="Arial" w:eastAsia="Calibri" w:hAnsi="Arial" w:cs="Arial"/>
      <w:color w:val="000000"/>
      <w:kern w:val="0"/>
      <w:sz w:val="24"/>
      <w:szCs w:val="24"/>
      <w14:ligatures w14:val="none"/>
    </w:rPr>
  </w:style>
  <w:style w:type="paragraph" w:customStyle="1" w:styleId="Text2">
    <w:name w:val="Text 2"/>
    <w:basedOn w:val="Normal"/>
    <w:rsid w:val="00D94BBB"/>
    <w:pPr>
      <w:tabs>
        <w:tab w:val="left" w:pos="2161"/>
      </w:tabs>
      <w:spacing w:after="240" w:line="240" w:lineRule="auto"/>
      <w:ind w:left="1202"/>
      <w:jc w:val="both"/>
    </w:pPr>
    <w:rPr>
      <w:rFonts w:ascii="Arial" w:eastAsia="Times New Roman" w:hAnsi="Arial" w:cs="Times New Roman"/>
      <w:sz w:val="20"/>
      <w:szCs w:val="20"/>
      <w:lang w:eastAsia="en-GB"/>
      <w14:ligatures w14:val="none"/>
    </w:rPr>
  </w:style>
  <w:style w:type="paragraph" w:styleId="En-ttedetabledesmatires">
    <w:name w:val="TOC Heading"/>
    <w:basedOn w:val="Titre1"/>
    <w:next w:val="Normal"/>
    <w:uiPriority w:val="39"/>
    <w:unhideWhenUsed/>
    <w:qFormat/>
    <w:rsid w:val="0050132C"/>
    <w:pPr>
      <w:spacing w:before="240" w:after="0" w:line="259" w:lineRule="auto"/>
      <w:outlineLvl w:val="9"/>
    </w:pPr>
    <w:rPr>
      <w:sz w:val="32"/>
      <w:szCs w:val="32"/>
    </w:rPr>
  </w:style>
  <w:style w:type="paragraph" w:styleId="En-tte">
    <w:name w:val="header"/>
    <w:basedOn w:val="Normal"/>
    <w:link w:val="En-tteCar"/>
    <w:uiPriority w:val="99"/>
    <w:unhideWhenUsed/>
    <w:rsid w:val="0050132C"/>
    <w:pPr>
      <w:tabs>
        <w:tab w:val="center" w:pos="4536"/>
        <w:tab w:val="right" w:pos="9072"/>
      </w:tabs>
      <w:spacing w:after="0" w:line="240" w:lineRule="auto"/>
    </w:pPr>
  </w:style>
  <w:style w:type="character" w:customStyle="1" w:styleId="En-tteCar">
    <w:name w:val="En-tête Car"/>
    <w:basedOn w:val="Policepardfaut"/>
    <w:link w:val="En-tte"/>
    <w:uiPriority w:val="99"/>
    <w:rsid w:val="0050132C"/>
    <w:rPr>
      <w:kern w:val="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266909">
      <w:bodyDiv w:val="1"/>
      <w:marLeft w:val="0"/>
      <w:marRight w:val="0"/>
      <w:marTop w:val="0"/>
      <w:marBottom w:val="0"/>
      <w:divBdr>
        <w:top w:val="none" w:sz="0" w:space="0" w:color="auto"/>
        <w:left w:val="none" w:sz="0" w:space="0" w:color="auto"/>
        <w:bottom w:val="none" w:sz="0" w:space="0" w:color="auto"/>
        <w:right w:val="none" w:sz="0" w:space="0" w:color="auto"/>
      </w:divBdr>
    </w:div>
    <w:div w:id="210491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IDO\AppData\Roaming\Microsoft\Excel\NOTES%20(version%201).xlsb"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Arial Narrow" panose="020B0606020202030204" pitchFamily="34" charset="0"/>
                <a:ea typeface="Lato" panose="020F0502020204030203" pitchFamily="34" charset="0"/>
                <a:cs typeface="Lato" panose="020F0502020204030203" pitchFamily="34" charset="0"/>
              </a:defRPr>
            </a:pPr>
            <a:r>
              <a:rPr lang="en-US" sz="1200">
                <a:latin typeface="Arial Narrow" panose="020B0606020202030204" pitchFamily="34" charset="0"/>
                <a:ea typeface="Lato" panose="020F0502020204030203" pitchFamily="34" charset="0"/>
                <a:cs typeface="Lato" panose="020F0502020204030203" pitchFamily="34" charset="0"/>
              </a:rPr>
              <a:t>Evaluation</a:t>
            </a:r>
            <a:r>
              <a:rPr lang="en-US" sz="1200" baseline="0">
                <a:latin typeface="Arial Narrow" panose="020B0606020202030204" pitchFamily="34" charset="0"/>
                <a:ea typeface="Lato" panose="020F0502020204030203" pitchFamily="34" charset="0"/>
                <a:cs typeface="Lato" panose="020F0502020204030203" pitchFamily="34" charset="0"/>
              </a:rPr>
              <a:t> du niveau des</a:t>
            </a:r>
            <a:r>
              <a:rPr lang="en-US" sz="1200">
                <a:latin typeface="Arial Narrow" panose="020B0606020202030204" pitchFamily="34" charset="0"/>
                <a:ea typeface="Lato" panose="020F0502020204030203" pitchFamily="34" charset="0"/>
                <a:cs typeface="Lato" panose="020F0502020204030203" pitchFamily="34" charset="0"/>
              </a:rPr>
              <a:t> participants</a:t>
            </a:r>
          </a:p>
        </c:rich>
      </c:tx>
      <c:layout>
        <c:manualLayout>
          <c:xMode val="edge"/>
          <c:yMode val="edge"/>
          <c:x val="0.18506932221707581"/>
          <c:y val="4.6296296296296294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Arial Narrow" panose="020B0606020202030204" pitchFamily="34" charset="0"/>
              <a:ea typeface="Lato" panose="020F0502020204030203" pitchFamily="34" charset="0"/>
              <a:cs typeface="Lato" panose="020F0502020204030203" pitchFamily="34" charset="0"/>
            </a:defRPr>
          </a:pPr>
          <a:endParaRPr lang="fr-FR"/>
        </a:p>
      </c:txPr>
    </c:title>
    <c:autoTitleDeleted val="0"/>
    <c:plotArea>
      <c:layout>
        <c:manualLayout>
          <c:layoutTarget val="inner"/>
          <c:xMode val="edge"/>
          <c:yMode val="edge"/>
          <c:x val="7.0567147856517937E-2"/>
          <c:y val="0.1653240740740741"/>
          <c:w val="0.88498840769903764"/>
          <c:h val="0.4732943277923593"/>
        </c:manualLayout>
      </c:layout>
      <c:barChart>
        <c:barDir val="col"/>
        <c:grouping val="clustered"/>
        <c:varyColors val="0"/>
        <c:ser>
          <c:idx val="0"/>
          <c:order val="0"/>
          <c:tx>
            <c:strRef>
              <c:f>Feuil1!$C$4</c:f>
              <c:strCache>
                <c:ptCount val="1"/>
                <c:pt idx="0">
                  <c:v>Prétest</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rgbClr val="FF0000"/>
                    </a:solidFill>
                    <a:latin typeface="Lato" panose="020F0502020204030203" pitchFamily="34" charset="0"/>
                    <a:ea typeface="Lato" panose="020F0502020204030203" pitchFamily="34" charset="0"/>
                    <a:cs typeface="Lato" panose="020F0502020204030203" pitchFamily="34" charset="0"/>
                  </a:defRPr>
                </a:pPr>
                <a:endParaRPr lang="fr-FR"/>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Feuil1!$B$5:$B$7</c:f>
              <c:strCache>
                <c:ptCount val="3"/>
                <c:pt idx="0">
                  <c:v>Notes supérieures ou égales à la moyenne </c:v>
                </c:pt>
                <c:pt idx="1">
                  <c:v>Notes inférieures à la moyenne</c:v>
                </c:pt>
                <c:pt idx="2">
                  <c:v>Plus de 80% de bonnes reponses </c:v>
                </c:pt>
              </c:strCache>
            </c:strRef>
          </c:cat>
          <c:val>
            <c:numRef>
              <c:f>Feuil1!$C$5:$C$7</c:f>
              <c:numCache>
                <c:formatCode>0%</c:formatCode>
                <c:ptCount val="3"/>
                <c:pt idx="0">
                  <c:v>0.21428571428571427</c:v>
                </c:pt>
                <c:pt idx="1">
                  <c:v>0.7857142857142857</c:v>
                </c:pt>
                <c:pt idx="2">
                  <c:v>0</c:v>
                </c:pt>
              </c:numCache>
            </c:numRef>
          </c:val>
          <c:extLst xmlns:c16r2="http://schemas.microsoft.com/office/drawing/2015/06/chart">
            <c:ext xmlns:c16="http://schemas.microsoft.com/office/drawing/2014/chart" uri="{C3380CC4-5D6E-409C-BE32-E72D297353CC}">
              <c16:uniqueId val="{00000000-B1B8-4EC6-9E09-04D6EA2CE7CD}"/>
            </c:ext>
          </c:extLst>
        </c:ser>
        <c:ser>
          <c:idx val="1"/>
          <c:order val="1"/>
          <c:tx>
            <c:strRef>
              <c:f>Feuil1!$D$4</c:f>
              <c:strCache>
                <c:ptCount val="1"/>
                <c:pt idx="0">
                  <c:v>Post test</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Lato" panose="020F0502020204030203" pitchFamily="34" charset="0"/>
                    <a:ea typeface="Lato" panose="020F0502020204030203" pitchFamily="34" charset="0"/>
                    <a:cs typeface="Lato" panose="020F0502020204030203" pitchFamily="34" charset="0"/>
                  </a:defRPr>
                </a:pPr>
                <a:endParaRPr lang="fr-FR"/>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Feuil1!$B$5:$B$7</c:f>
              <c:strCache>
                <c:ptCount val="3"/>
                <c:pt idx="0">
                  <c:v>Notes supérieures ou égales à la moyenne </c:v>
                </c:pt>
                <c:pt idx="1">
                  <c:v>Notes inférieures à la moyenne</c:v>
                </c:pt>
                <c:pt idx="2">
                  <c:v>Plus de 80% de bonnes reponses </c:v>
                </c:pt>
              </c:strCache>
            </c:strRef>
          </c:cat>
          <c:val>
            <c:numRef>
              <c:f>Feuil1!$D$5:$D$7</c:f>
              <c:numCache>
                <c:formatCode>0%</c:formatCode>
                <c:ptCount val="3"/>
                <c:pt idx="0">
                  <c:v>0.92307692307692313</c:v>
                </c:pt>
                <c:pt idx="1">
                  <c:v>0.08</c:v>
                </c:pt>
                <c:pt idx="2">
                  <c:v>0.38461538461538464</c:v>
                </c:pt>
              </c:numCache>
            </c:numRef>
          </c:val>
          <c:extLst xmlns:c16r2="http://schemas.microsoft.com/office/drawing/2015/06/chart">
            <c:ext xmlns:c16="http://schemas.microsoft.com/office/drawing/2014/chart" uri="{C3380CC4-5D6E-409C-BE32-E72D297353CC}">
              <c16:uniqueId val="{00000001-B1B8-4EC6-9E09-04D6EA2CE7CD}"/>
            </c:ext>
          </c:extLst>
        </c:ser>
        <c:dLbls>
          <c:dLblPos val="inEnd"/>
          <c:showLegendKey val="0"/>
          <c:showVal val="1"/>
          <c:showCatName val="0"/>
          <c:showSerName val="0"/>
          <c:showPercent val="0"/>
          <c:showBubbleSize val="0"/>
        </c:dLbls>
        <c:gapWidth val="65"/>
        <c:axId val="557046848"/>
        <c:axId val="557045216"/>
      </c:barChart>
      <c:catAx>
        <c:axId val="55704684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700" b="1" i="0" u="none" strike="noStrike" kern="1200" cap="none" baseline="0">
                <a:solidFill>
                  <a:schemeClr val="dk1">
                    <a:lumMod val="75000"/>
                    <a:lumOff val="25000"/>
                  </a:schemeClr>
                </a:solidFill>
                <a:latin typeface="Lato" panose="020F0502020204030203" pitchFamily="34" charset="0"/>
                <a:ea typeface="Lato" panose="020F0502020204030203" pitchFamily="34" charset="0"/>
                <a:cs typeface="Lato" panose="020F0502020204030203" pitchFamily="34" charset="0"/>
              </a:defRPr>
            </a:pPr>
            <a:endParaRPr lang="fr-FR"/>
          </a:p>
        </c:txPr>
        <c:crossAx val="557045216"/>
        <c:crosses val="autoZero"/>
        <c:auto val="1"/>
        <c:lblAlgn val="ctr"/>
        <c:lblOffset val="100"/>
        <c:noMultiLvlLbl val="0"/>
      </c:catAx>
      <c:valAx>
        <c:axId val="55704521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55704684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Lato" panose="020F0502020204030203" pitchFamily="34" charset="0"/>
              <a:ea typeface="Lato" panose="020F0502020204030203" pitchFamily="34" charset="0"/>
              <a:cs typeface="Lato" panose="020F0502020204030203" pitchFamily="34" charset="0"/>
            </a:defRPr>
          </a:pPr>
          <a:endParaRPr lang="fr-FR"/>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2C290-CC40-41EB-89BD-78BAE4608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10</Pages>
  <Words>2750</Words>
  <Characters>15125</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Salfou IDO</dc:creator>
  <cp:keywords/>
  <dc:description/>
  <cp:lastModifiedBy>PC</cp:lastModifiedBy>
  <cp:revision>4</cp:revision>
  <dcterms:created xsi:type="dcterms:W3CDTF">2025-05-06T07:51:00Z</dcterms:created>
  <dcterms:modified xsi:type="dcterms:W3CDTF">2025-05-06T13:38:00Z</dcterms:modified>
</cp:coreProperties>
</file>