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Rapport de performance gouvernementale</w:t>
      </w:r>
    </w:p>
    <w:p>
      <w:pPr>
        <w:spacing w:after="200"/>
        <w:jc w:val="center"/>
      </w:pPr>
      <w:r>
        <w:t xml:space="preserve">Généré le 25/03/2026</w:t>
      </w:r>
    </w:p>
    <w:p>
      <w:pPr>
        <w:pStyle w:val="Heading1"/>
      </w:pPr>
      <w:r>
        <w:t xml:space="preserve">Résumé exécutif</w:t>
      </w:r>
    </w:p>
    <w:p>
      <w:pPr>
        <w:spacing w:after="200"/>
      </w:pPr>
      <w:r>
        <w:t xml:space="preserve">La période 2025 T4 couvre 185 unités d'échéance sur 4 secteur(s). Taux global de réalisation : 0.7%. Le présent rapport synthétise les engagements par secteur et les réalisations associées.</w:t>
      </w:r>
    </w:p>
    <w:p>
      <w:pPr>
        <w:pStyle w:val="Heading2"/>
      </w:pPr>
      <w:r>
        <w:t xml:space="preserve">Réalisations clés :</w:t>
      </w:r>
    </w:p>
    <w:p>
      <w:pPr>
        <w:pStyle w:val="ListParagraph"/>
        <w:numPr>
          <w:ilvl w:val="0"/>
          <w:numId w:val="1"/>
        </w:numPr>
      </w:pPr>
      <w:r>
        <w:t xml:space="preserve">• Taux global de réalisation : 0.7% sur l'ensemble des unités d'échéance.</w:t>
      </w:r>
    </w:p>
    <w:p>
      <w:pPr>
        <w:pStyle w:val="ListParagraph"/>
        <w:numPr>
          <w:ilvl w:val="0"/>
          <w:numId w:val="1"/>
        </w:numPr>
      </w:pPr>
      <w:r>
        <w:t xml:space="preserve">• Secteur Économique en tête avec 1% de réalisation.</w:t>
      </w:r>
    </w:p>
    <w:p>
      <w:pPr>
        <w:pStyle w:val="ListParagraph"/>
        <w:numPr>
          <w:ilvl w:val="0"/>
          <w:numId w:val="1"/>
        </w:numPr>
      </w:pPr>
      <w:r>
        <w:t xml:space="preserve">• 185 unités d'échéance suivies sur la période.</w:t>
      </w:r>
    </w:p>
    <w:p>
      <w:pPr>
        <w:pStyle w:val="Heading2"/>
      </w:pPr>
      <w:r>
        <w:t xml:space="preserve">Points stratégiques :</w:t>
      </w:r>
    </w:p>
    <w:p>
      <w:pPr>
        <w:pStyle w:val="ListParagraph"/>
        <w:numPr>
          <w:ilvl w:val="0"/>
          <w:numId w:val="1"/>
        </w:numPr>
      </w:pPr>
      <w:r>
        <w:t xml:space="preserve">• Renforcer le secteur Rural (0% de réalisation).</w:t>
      </w:r>
    </w:p>
    <w:p>
      <w:pPr>
        <w:pStyle w:val="ListParagraph"/>
        <w:numPr>
          <w:ilvl w:val="0"/>
          <w:numId w:val="1"/>
        </w:numPr>
      </w:pPr>
      <w:r>
        <w:t xml:space="preserve">• Réduire les goulots : Retard dans les délais, Manque de ressources.</w:t>
      </w:r>
    </w:p>
    <w:p>
      <w:pPr>
        <w:pStyle w:val="ListParagraph"/>
        <w:numPr>
          <w:ilvl w:val="0"/>
          <w:numId w:val="1"/>
        </w:numPr>
      </w:pPr>
      <w:r>
        <w:t xml:space="preserve">• Maintenir la dynamique dans le secteur Économique.</w:t>
      </w:r>
    </w:p>
    <w:p>
      <w:pPr>
        <w:pStyle w:val="Heading1"/>
      </w:pPr>
      <w:r>
        <w:t xml:space="preserve">Engagements vs Réalisations</w:t>
      </w:r>
    </w:p>
    <w:p>
      <w:r>
        <w:t xml:space="preserve">Taux d’engagement : 100%</w:t>
      </w:r>
    </w:p>
    <w:p>
      <w:r>
        <w:t xml:space="preserve">Taux d’exécution : 0.73%</w:t>
      </w:r>
    </w:p>
    <w:p>
      <w:r>
        <w:t xml:space="preserve">Analyse des écarts : 99.27% d'écart entre engagements et réalisations indique des difficultés d'exécution.</w:t>
      </w:r>
    </w:p>
    <w:p>
      <w:r>
        <w:t xml:space="preserve">Tendance : Une accélération significative est nécessaire.</w:t>
      </w:r>
    </w:p>
    <w:p>
      <w:r>
        <w:t xml:space="preserve">Goulots : Retard dans les délais, Manque de ressources</w:t>
      </w:r>
    </w:p>
    <w:p>
      <w:pPr>
        <w:pStyle w:val="Heading1"/>
      </w:pPr>
      <w:r>
        <w:t xml:space="preserve">Répartition géographique</w:t>
      </w:r>
    </w:p>
    <w:p>
      <w:r>
        <w:t xml:space="preserve">16 projet(s) géolocalisé(s). Secteurs à forte densité de projets : Justice, Diplomatie &amp; Souveraineté, Économique, Rural. Zones prioritaires : Secteur Rural (taux faible), Social (problèmes remontés), Économique (problèmes remontés).</w:t>
      </w:r>
    </w:p>
    <w:p>
      <w:pPr>
        <w:pStyle w:val="Heading1"/>
      </w:pPr>
      <w:r>
        <w:t xml:space="preserve">Performance sectorielle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r>
              <w:t xml:space="preserve">Secteur</w:t>
            </w:r>
          </w:p>
        </w:tc>
        <w:tc>
          <w:p>
            <w:r>
              <w:t xml:space="preserve">Taux d’achèvement (%)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0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0</w:t>
            </w:r>
          </w:p>
        </w:tc>
      </w:tr>
    </w:tbl>
    <w:p>
      <w:pPr>
        <w:pStyle w:val="Heading1"/>
      </w:pPr>
      <w:r>
        <w:t xml:space="preserve">Analyse des goulots d’étranglement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p>
            <w:r>
              <w:t xml:space="preserve">Projet</w:t>
            </w:r>
          </w:p>
        </w:tc>
        <w:tc>
          <w:p>
            <w:r>
              <w:t xml:space="preserve">Secteur</w:t>
            </w:r>
          </w:p>
        </w:tc>
        <w:tc>
          <w:p>
            <w:r>
              <w:t xml:space="preserve">Chantier</w:t>
            </w:r>
          </w:p>
        </w:tc>
        <w:tc>
          <w:p>
            <w:r>
              <w:t xml:space="preserve">Progression</w:t>
            </w:r>
          </w:p>
        </w:tc>
        <w:tc>
          <w:p>
            <w:r>
              <w:t xml:space="preserve">Statut</w:t>
            </w:r>
          </w:p>
        </w:tc>
        <w:tc>
          <w:p>
            <w:r>
              <w:t xml:space="preserve">Échéance</w:t>
            </w:r>
          </w:p>
        </w:tc>
      </w:tr>
      <w:tr>
        <w:tc>
          <w:p>
            <w:r>
              <w:t xml:space="preserve">UNITE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UNITE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UNITE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5%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UNITE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UNITE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IV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V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Réunions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X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Réunions</w:t>
            </w:r>
          </w:p>
        </w:tc>
        <w:tc>
          <w:p>
            <w:r>
              <w:t xml:space="preserve">Social</w:t>
            </w:r>
          </w:p>
        </w:tc>
        <w:tc>
          <w:p>
            <w:r>
              <w:t xml:space="preserve">CHANTIER X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Mar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La production Electrique de N'djamena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Politique Nationale de l'Energie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Logone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25%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Muni réseaux electrique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semestre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36%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Jun 2025</w:t>
            </w:r>
          </w:p>
        </w:tc>
      </w:tr>
      <w:tr>
        <w:tc>
          <w:p>
            <w:r>
              <w:t xml:space="preserve">Unité semestre 2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20%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Aéroport International Hassane Djamouss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Aéroport International Hassan Djamouss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Aéroport MIDI d'Amdjarass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Aéroport de Moundou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VIII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5%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3%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dsfsfsd</w:t>
            </w:r>
          </w:p>
        </w:tc>
        <w:tc>
          <w:p>
            <w:r>
              <w:t xml:space="preserve">Économique</w:t>
            </w:r>
          </w:p>
        </w:tc>
        <w:tc>
          <w:p>
            <w:r>
              <w:t xml:space="preserve">CHANTIER XII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Mar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Création et construction d'une école de journalisme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May 2025</w:t>
            </w:r>
          </w:p>
        </w:tc>
      </w:tr>
      <w:tr>
        <w:tc>
          <w:p>
            <w:r>
              <w:t xml:space="preserve">Construction du siège du Ministère de la Communication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Aug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Jul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échéance 2025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Mar 2025</w:t>
            </w:r>
          </w:p>
        </w:tc>
      </w:tr>
      <w:tr>
        <w:tc>
          <w:p>
            <w:r>
              <w:t xml:space="preserve">SDFSDF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Mar 2026</w:t>
            </w:r>
          </w:p>
        </w:tc>
      </w:tr>
      <w:tr>
        <w:tc>
          <w:p>
            <w:r>
              <w:t xml:space="preserve">sdkljfs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Mar 2026</w:t>
            </w:r>
          </w:p>
        </w:tc>
      </w:tr>
      <w:tr>
        <w:tc>
          <w:p>
            <w:r>
              <w:t xml:space="preserve">sdfsdf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Mar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Jun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Jan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Mar 2026</w:t>
            </w:r>
          </w:p>
        </w:tc>
      </w:tr>
      <w:tr>
        <w:tc>
          <w:p>
            <w:r>
              <w:t xml:space="preserve">Chantier Palais de Justice de N'DJAMENA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II</w:t>
            </w:r>
          </w:p>
        </w:tc>
        <w:tc>
          <w:p>
            <w:r>
              <w:t xml:space="preserve">26%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10%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3%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Justice, Diplomatie &amp; Souveraineté</w:t>
            </w:r>
          </w:p>
        </w:tc>
        <w:tc>
          <w:p>
            <w:r>
              <w:t xml:space="preserve">CHANTIER XI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Complexe Laitier de Mandalia</w:t>
            </w:r>
          </w:p>
        </w:tc>
        <w:tc>
          <w:p>
            <w:r>
              <w:t xml:space="preserve">Rural</w:t>
            </w:r>
          </w:p>
        </w:tc>
        <w:tc>
          <w:p>
            <w:r>
              <w:t xml:space="preserve">CHANTIER IX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  <w:tr>
        <w:tc>
          <w:p>
            <w:r>
              <w:t xml:space="preserve">Complexe Laitier d'ATI</w:t>
            </w:r>
          </w:p>
        </w:tc>
        <w:tc>
          <w:p>
            <w:r>
              <w:t xml:space="preserve">Rural</w:t>
            </w:r>
          </w:p>
        </w:tc>
        <w:tc>
          <w:p>
            <w:r>
              <w:t xml:space="preserve">CHANTIER IX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2026</w:t>
            </w:r>
          </w:p>
        </w:tc>
      </w:tr>
      <w:tr>
        <w:tc>
          <w:p>
            <w:r>
              <w:t xml:space="preserve">unité 1</w:t>
            </w:r>
          </w:p>
        </w:tc>
        <w:tc>
          <w:p>
            <w:r>
              <w:t xml:space="preserve">Rural</w:t>
            </w:r>
          </w:p>
        </w:tc>
        <w:tc>
          <w:p>
            <w:r>
              <w:t xml:space="preserve">CHANTIER IX</w:t>
            </w:r>
          </w:p>
        </w:tc>
        <w:tc>
          <w:p>
            <w:r>
              <w:t xml:space="preserve">0%</w:t>
            </w:r>
          </w:p>
        </w:tc>
        <w:tc>
          <w:p>
            <w:r>
              <w:t xml:space="preserve">In Progress</w:t>
            </w:r>
          </w:p>
        </w:tc>
        <w:tc>
          <w:p>
            <w:r>
              <w:t xml:space="preserve">Dec 2025</w:t>
            </w:r>
          </w:p>
        </w:tc>
      </w:tr>
    </w:tbl>
    <w:p>
      <w:pPr>
        <w:pStyle w:val="Heading1"/>
      </w:pPr>
      <w:r>
        <w:t xml:space="preserve">Développement des infrastructures</w:t>
      </w:r>
    </w:p>
    <w:p>
      <w:r>
        <w:t xml:space="preserve">Points forts : Catégorie International en tête avec 0.76% de réalisation (17 projets).</w:t>
      </w:r>
    </w:p>
    <w:p>
      <w:r>
        <w:t xml:space="preserve">Points clés : Suivi en cours pour Mines, Bâtiments publics, International.</w:t>
      </w:r>
    </w:p>
    <w:p>
      <w:r>
        <w:t xml:space="preserve">Défis : Goulot : Retard dans les délais., Goulot : Manque de ressources.</w:t>
      </w:r>
    </w:p>
    <w:p>
      <w:r>
        <w:t xml:space="preserve">Objectifs du prochain trimestre : Accélérer les projets Mines (0%)., Renforcer le secteur Rural.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2026-03-25T13:30:27.227Z</dcterms:created>
  <dcterms:modified xsi:type="dcterms:W3CDTF">2026-03-25T13:30:27.227Z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